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5CADA" w14:textId="0681CE61" w:rsidR="00D60A86" w:rsidRDefault="00450E36" w:rsidP="00D60A86">
      <w:pPr>
        <w:pStyle w:val="Heading1"/>
        <w:spacing w:before="0" w:after="240"/>
      </w:pPr>
      <w:r w:rsidRPr="00450E36">
        <w:t>Greater Houston Land Cover Change Dataset: 1997-2017</w:t>
      </w:r>
      <w:r w:rsidR="00FC0137">
        <w:br/>
        <w:t>Technical Report</w:t>
      </w:r>
    </w:p>
    <w:p w14:paraId="7BC311CA" w14:textId="77777777" w:rsidR="00916FAD" w:rsidRPr="00916FAD" w:rsidRDefault="00916FAD" w:rsidP="008D0AD1">
      <w:pPr>
        <w:pStyle w:val="Heading2"/>
      </w:pPr>
      <w:r w:rsidRPr="00916FAD">
        <w:t>Description</w:t>
      </w:r>
    </w:p>
    <w:p w14:paraId="1AE8DE30" w14:textId="5E69F9E2" w:rsidR="00916FAD" w:rsidRDefault="00916FAD" w:rsidP="00450E36">
      <w:pPr>
        <w:pStyle w:val="NoSpacing"/>
      </w:pPr>
      <w:r w:rsidRPr="00916FAD">
        <w:t xml:space="preserve">Land cover data for the 13-county Houston-Galveston Area Council (HGAC) at 30m spatial resolution, annual temporal resolution, 21-year temporal extent, and nine class thematic resolution. Classifications are derived from 30m Landsat 5 Thematic Mapper (TM), Landsat 7 Enhanced Thematic Mapper (ETM+), and Landsat 8 Operational Land Imager (OLI) imagery. Training classes are based on NLCD land cover data from 2001 (Homer et al. 2007), 2006 (Fry et al. 2011), and 2011 (Homer et al. 2015). The classification is based on Automated Adaptive Signature Generalization (AASG) (Dannenberg et al. 2016), random forests classification, and </w:t>
      </w:r>
      <w:proofErr w:type="spellStart"/>
      <w:r w:rsidRPr="00916FAD">
        <w:t>spatio</w:t>
      </w:r>
      <w:proofErr w:type="spellEnd"/>
      <w:r w:rsidRPr="00916FAD">
        <w:t>-temporal filtering algorithms (</w:t>
      </w:r>
      <w:proofErr w:type="spellStart"/>
      <w:r w:rsidRPr="00916FAD">
        <w:t>Hakkenberg</w:t>
      </w:r>
      <w:proofErr w:type="spellEnd"/>
      <w:r w:rsidRPr="00916FAD">
        <w:t xml:space="preserve"> et al. 2018a, </w:t>
      </w:r>
      <w:proofErr w:type="spellStart"/>
      <w:r w:rsidRPr="00916FAD">
        <w:t>Hakkenberg</w:t>
      </w:r>
      <w:proofErr w:type="spellEnd"/>
      <w:r w:rsidRPr="00916FAD">
        <w:t xml:space="preserve"> et al. 2018b). All classifications are validated with independent accuracy assessments and inter-classification comparisons (</w:t>
      </w:r>
      <w:proofErr w:type="spellStart"/>
      <w:r w:rsidRPr="00916FAD">
        <w:t>Hakkenberg</w:t>
      </w:r>
      <w:proofErr w:type="spellEnd"/>
      <w:r w:rsidRPr="00916FAD">
        <w:t xml:space="preserve"> et al. 2018a).</w:t>
      </w:r>
    </w:p>
    <w:p w14:paraId="72A09C25" w14:textId="77777777" w:rsidR="00916FAD" w:rsidRDefault="00916FAD" w:rsidP="00450E36">
      <w:pPr>
        <w:pStyle w:val="NoSpacing"/>
      </w:pPr>
    </w:p>
    <w:p w14:paraId="314BC416" w14:textId="77777777" w:rsidR="0028558B" w:rsidRDefault="0028558B" w:rsidP="0028558B">
      <w:pPr>
        <w:pStyle w:val="Heading3"/>
      </w:pPr>
      <w:r>
        <w:t>References used in the above description</w:t>
      </w:r>
    </w:p>
    <w:p w14:paraId="42AE472D" w14:textId="77777777" w:rsidR="0028558B" w:rsidRDefault="0028558B" w:rsidP="0028558B">
      <w:pPr>
        <w:pStyle w:val="NoSpacing"/>
        <w:ind w:left="720" w:hanging="720"/>
      </w:pPr>
      <w:r>
        <w:t xml:space="preserve">Dannenberg, M.P., </w:t>
      </w:r>
      <w:proofErr w:type="spellStart"/>
      <w:r>
        <w:t>Hakkenberg</w:t>
      </w:r>
      <w:proofErr w:type="spellEnd"/>
      <w:r>
        <w:t xml:space="preserve">, C.R., &amp; Song, C. 2016. Consistent classification of Landsat time series with an improved automatic adaptive signature generalization algorithm. </w:t>
      </w:r>
      <w:r w:rsidRPr="00B7734E">
        <w:rPr>
          <w:i/>
        </w:rPr>
        <w:t>Remote Sensing</w:t>
      </w:r>
      <w:r>
        <w:t xml:space="preserve"> 8(8), 691.</w:t>
      </w:r>
    </w:p>
    <w:p w14:paraId="32ED5241" w14:textId="77777777" w:rsidR="0028558B" w:rsidRDefault="0028558B" w:rsidP="0028558B">
      <w:pPr>
        <w:pStyle w:val="NoSpacing"/>
        <w:ind w:left="720" w:hanging="720"/>
      </w:pPr>
    </w:p>
    <w:p w14:paraId="55795756" w14:textId="77777777" w:rsidR="0028558B" w:rsidRDefault="0028558B" w:rsidP="0028558B">
      <w:pPr>
        <w:pStyle w:val="NoSpacing"/>
        <w:ind w:left="720" w:hanging="720"/>
      </w:pPr>
      <w:r>
        <w:t xml:space="preserve">Fry, J. a., Xian, G., </w:t>
      </w:r>
      <w:proofErr w:type="spellStart"/>
      <w:r>
        <w:t>Jin</w:t>
      </w:r>
      <w:proofErr w:type="spellEnd"/>
      <w:r>
        <w:t xml:space="preserve">, S., </w:t>
      </w:r>
      <w:proofErr w:type="spellStart"/>
      <w:r>
        <w:t>Dewitz</w:t>
      </w:r>
      <w:proofErr w:type="spellEnd"/>
      <w:r>
        <w:t xml:space="preserve">, J. a., Homer, C.G., Yang, L., Barnes, C. a., Herold, N.D., &amp; Wickham, J.D. 2011. Completion of the 2006 National Land Cover Database for the conterminous United States. </w:t>
      </w:r>
      <w:r w:rsidRPr="00B7734E">
        <w:rPr>
          <w:i/>
        </w:rPr>
        <w:t>Photogrammetric Engineering and Remote Sensing</w:t>
      </w:r>
      <w:r>
        <w:t xml:space="preserve"> 77: 858–566.</w:t>
      </w:r>
    </w:p>
    <w:p w14:paraId="2B186246" w14:textId="77777777" w:rsidR="0028558B" w:rsidRDefault="0028558B" w:rsidP="0028558B">
      <w:pPr>
        <w:pStyle w:val="NoSpacing"/>
        <w:ind w:left="720" w:hanging="720"/>
      </w:pPr>
    </w:p>
    <w:p w14:paraId="617EDDB6" w14:textId="77777777" w:rsidR="0028558B" w:rsidRDefault="0028558B" w:rsidP="0028558B">
      <w:pPr>
        <w:pStyle w:val="NoSpacing"/>
        <w:ind w:left="720" w:hanging="720"/>
      </w:pPr>
      <w:proofErr w:type="spellStart"/>
      <w:r>
        <w:t>Hakkenberg</w:t>
      </w:r>
      <w:proofErr w:type="spellEnd"/>
      <w:r>
        <w:t xml:space="preserve">, C.R, Dannenberg, M.P., Song, C., and K. Ensor (2018a, </w:t>
      </w:r>
      <w:r w:rsidRPr="00B7734E">
        <w:rPr>
          <w:i/>
        </w:rPr>
        <w:t>in review</w:t>
      </w:r>
      <w:r>
        <w:t>). Automated, multi-decadal land-cover classification of the greater Houston area using signature generation of a Landsat time series.</w:t>
      </w:r>
    </w:p>
    <w:p w14:paraId="5B0C777E" w14:textId="77777777" w:rsidR="0028558B" w:rsidRDefault="0028558B" w:rsidP="0028558B">
      <w:pPr>
        <w:pStyle w:val="NoSpacing"/>
        <w:ind w:left="720" w:hanging="720"/>
      </w:pPr>
    </w:p>
    <w:p w14:paraId="0850F797" w14:textId="77777777" w:rsidR="0028558B" w:rsidRDefault="0028558B" w:rsidP="0028558B">
      <w:pPr>
        <w:pStyle w:val="NoSpacing"/>
        <w:ind w:left="720" w:hanging="720"/>
      </w:pPr>
      <w:proofErr w:type="spellStart"/>
      <w:r>
        <w:t>Hakkenberg</w:t>
      </w:r>
      <w:proofErr w:type="spellEnd"/>
      <w:r>
        <w:t xml:space="preserve">, C.R. and K. Ensor (2018b, </w:t>
      </w:r>
      <w:r w:rsidRPr="00B7734E">
        <w:rPr>
          <w:i/>
        </w:rPr>
        <w:t>in review</w:t>
      </w:r>
      <w:r>
        <w:t xml:space="preserve">). Space-time Remote Sensing Reconstruction of changing </w:t>
      </w:r>
      <w:proofErr w:type="spellStart"/>
      <w:r>
        <w:t>Landcover</w:t>
      </w:r>
      <w:proofErr w:type="spellEnd"/>
      <w:r>
        <w:t xml:space="preserve"> for Houston.</w:t>
      </w:r>
    </w:p>
    <w:p w14:paraId="25371507" w14:textId="77777777" w:rsidR="0028558B" w:rsidRDefault="0028558B" w:rsidP="0028558B">
      <w:pPr>
        <w:pStyle w:val="NoSpacing"/>
        <w:ind w:left="720" w:hanging="720"/>
      </w:pPr>
    </w:p>
    <w:p w14:paraId="4D2E77B9" w14:textId="77777777" w:rsidR="0028558B" w:rsidRDefault="0028558B" w:rsidP="0028558B">
      <w:pPr>
        <w:pStyle w:val="NoSpacing"/>
        <w:ind w:left="720" w:hanging="720"/>
      </w:pPr>
      <w:r>
        <w:t xml:space="preserve">Homer, C., </w:t>
      </w:r>
      <w:proofErr w:type="spellStart"/>
      <w:r>
        <w:t>Dewitz</w:t>
      </w:r>
      <w:proofErr w:type="spellEnd"/>
      <w:r>
        <w:t xml:space="preserve">, J., Fry, J., </w:t>
      </w:r>
      <w:proofErr w:type="spellStart"/>
      <w:r>
        <w:t>Coan</w:t>
      </w:r>
      <w:proofErr w:type="spellEnd"/>
      <w:r>
        <w:t xml:space="preserve">, M., Hossain, N., Larson, C., Herold, N., </w:t>
      </w:r>
      <w:proofErr w:type="spellStart"/>
      <w:r>
        <w:t>Mckerrow</w:t>
      </w:r>
      <w:proofErr w:type="spellEnd"/>
      <w:r>
        <w:t xml:space="preserve">, A., </w:t>
      </w:r>
      <w:proofErr w:type="spellStart"/>
      <w:r>
        <w:t>Vandriel</w:t>
      </w:r>
      <w:proofErr w:type="spellEnd"/>
      <w:r>
        <w:t xml:space="preserve">, J.N., &amp; Wickham, J. 2007. Completion of the 2001 National Land Cover Database for the Conterminous United States. </w:t>
      </w:r>
      <w:r w:rsidRPr="00B7734E">
        <w:rPr>
          <w:i/>
        </w:rPr>
        <w:t>Photogrammetric Engineering &amp; Remote Sensing</w:t>
      </w:r>
      <w:r>
        <w:t xml:space="preserve"> 73: 337–341.</w:t>
      </w:r>
    </w:p>
    <w:p w14:paraId="0AB3C74E" w14:textId="77777777" w:rsidR="0028558B" w:rsidRDefault="0028558B" w:rsidP="0028558B">
      <w:pPr>
        <w:pStyle w:val="NoSpacing"/>
        <w:ind w:left="720" w:hanging="720"/>
      </w:pPr>
    </w:p>
    <w:p w14:paraId="3F687CFD" w14:textId="2DF1BFAC" w:rsidR="0028558B" w:rsidRDefault="0028558B" w:rsidP="00C63345">
      <w:pPr>
        <w:pStyle w:val="NoSpacing"/>
        <w:ind w:left="720" w:hanging="720"/>
      </w:pPr>
      <w:r>
        <w:t xml:space="preserve">Homer, C.G., </w:t>
      </w:r>
      <w:proofErr w:type="spellStart"/>
      <w:r>
        <w:t>Dewitz</w:t>
      </w:r>
      <w:proofErr w:type="spellEnd"/>
      <w:r>
        <w:t xml:space="preserve">, J.A., Yang, L., </w:t>
      </w:r>
      <w:proofErr w:type="spellStart"/>
      <w:r>
        <w:t>Jin</w:t>
      </w:r>
      <w:proofErr w:type="spellEnd"/>
      <w:r>
        <w:t xml:space="preserve">, S., Danielson, P., Xian, G., </w:t>
      </w:r>
      <w:proofErr w:type="spellStart"/>
      <w:r>
        <w:t>Coulston</w:t>
      </w:r>
      <w:proofErr w:type="spellEnd"/>
      <w:r>
        <w:t xml:space="preserve">, J., Herold, N.D., Wickham, J.D., &amp; </w:t>
      </w:r>
      <w:proofErr w:type="spellStart"/>
      <w:r>
        <w:t>Megown</w:t>
      </w:r>
      <w:proofErr w:type="spellEnd"/>
      <w:r>
        <w:t xml:space="preserve">, K. 2015. Completion of the 2011 National Land Cover Database for the conterminous United States-Representing a decade of land cover change information. </w:t>
      </w:r>
      <w:r w:rsidRPr="0028558B">
        <w:rPr>
          <w:i/>
        </w:rPr>
        <w:t>Photogrammetric Engineering and Remote Sensing</w:t>
      </w:r>
      <w:r>
        <w:t xml:space="preserve"> 81: 345–354.</w:t>
      </w:r>
    </w:p>
    <w:p w14:paraId="268FC124" w14:textId="77777777" w:rsidR="0028558B" w:rsidRDefault="0028558B" w:rsidP="00450E36">
      <w:pPr>
        <w:pStyle w:val="NoSpacing"/>
      </w:pPr>
    </w:p>
    <w:p w14:paraId="4BF09D27" w14:textId="032B72F6" w:rsidR="00450E36" w:rsidRDefault="00916FAD" w:rsidP="008D0AD1">
      <w:pPr>
        <w:pStyle w:val="Heading2"/>
      </w:pPr>
      <w:r>
        <w:t>Source</w:t>
      </w:r>
    </w:p>
    <w:p w14:paraId="4C016BF3" w14:textId="77908DF0" w:rsidR="00916FAD" w:rsidRDefault="001D4327" w:rsidP="008D0AD1">
      <w:pPr>
        <w:pStyle w:val="NoSpacing"/>
      </w:pPr>
      <w:r>
        <w:t xml:space="preserve">Chris </w:t>
      </w:r>
      <w:proofErr w:type="spellStart"/>
      <w:r>
        <w:t>Hakkenberg</w:t>
      </w:r>
      <w:proofErr w:type="spellEnd"/>
      <w:r>
        <w:t xml:space="preserve"> provided f</w:t>
      </w:r>
      <w:r w:rsidR="00916FAD">
        <w:t xml:space="preserve">iles to the UDP on 2/19/2018. Source data include 21 </w:t>
      </w:r>
      <w:proofErr w:type="spellStart"/>
      <w:r w:rsidR="00916FAD">
        <w:t>geoTIFF</w:t>
      </w:r>
      <w:proofErr w:type="spellEnd"/>
      <w:r w:rsidR="00916FAD">
        <w:t xml:space="preserve"> files (1997.TIFF – 2017.TIFF) and 1 color layer file (Clr_71.lyr). These constitute </w:t>
      </w:r>
      <w:r w:rsidR="00150DB1">
        <w:t xml:space="preserve">the Version </w:t>
      </w:r>
      <w:r w:rsidR="00916FAD">
        <w:t>2 data.</w:t>
      </w:r>
    </w:p>
    <w:p w14:paraId="61D45EF3" w14:textId="77777777" w:rsidR="001D4327" w:rsidRDefault="001D4327" w:rsidP="008D0AD1">
      <w:pPr>
        <w:pStyle w:val="NoSpacing"/>
      </w:pPr>
    </w:p>
    <w:p w14:paraId="2B4B6E9D" w14:textId="29874E20" w:rsidR="001D4327" w:rsidRDefault="001D4327" w:rsidP="008D0AD1">
      <w:pPr>
        <w:pStyle w:val="NoSpacing"/>
      </w:pPr>
      <w:r>
        <w:t xml:space="preserve">Chris </w:t>
      </w:r>
      <w:proofErr w:type="spellStart"/>
      <w:r>
        <w:t>Hakkenberg</w:t>
      </w:r>
      <w:proofErr w:type="spellEnd"/>
      <w:r>
        <w:t xml:space="preserve"> provided updated files to the UDP on 9/4/2018. Source data include 21 </w:t>
      </w:r>
      <w:proofErr w:type="spellStart"/>
      <w:r>
        <w:t>geoTIFF</w:t>
      </w:r>
      <w:proofErr w:type="spellEnd"/>
      <w:r>
        <w:t xml:space="preserve"> files (1997.TIFF – 2017.TIFF). Chris </w:t>
      </w:r>
      <w:proofErr w:type="spellStart"/>
      <w:r>
        <w:t>Hakkenberg</w:t>
      </w:r>
      <w:proofErr w:type="spellEnd"/>
      <w:r>
        <w:t xml:space="preserve"> confirmed that the same color layer file (Clr_71.lyr) </w:t>
      </w:r>
      <w:r w:rsidR="00B97BD1">
        <w:t>that was</w:t>
      </w:r>
      <w:r>
        <w:t xml:space="preserve"> given in Version 2 can be used. These constitute the Version 4 data.</w:t>
      </w:r>
      <w:r w:rsidR="00CC3C9C">
        <w:t xml:space="preserve"> </w:t>
      </w:r>
      <w:r w:rsidR="00CC3C9C" w:rsidRPr="00CC3C9C">
        <w:t xml:space="preserve">This update fixed an issue where </w:t>
      </w:r>
      <w:r w:rsidR="00CC3C9C" w:rsidRPr="00CC3C9C">
        <w:lastRenderedPageBreak/>
        <w:t>&lt;2000 pixels (&lt;0.00002%) in 2007 were erroneously labeled “sand” when they should have been labeled “impervious”.</w:t>
      </w:r>
    </w:p>
    <w:p w14:paraId="7BEF0B63" w14:textId="77777777" w:rsidR="00916FAD" w:rsidRPr="00916FAD" w:rsidRDefault="00916FAD" w:rsidP="008D0AD1">
      <w:pPr>
        <w:pStyle w:val="NoSpacing"/>
      </w:pPr>
    </w:p>
    <w:p w14:paraId="68C9C08D" w14:textId="02A97A8F" w:rsidR="007B0826" w:rsidRPr="007B0826" w:rsidRDefault="0028558B" w:rsidP="00F74537">
      <w:pPr>
        <w:pStyle w:val="Heading2"/>
      </w:pPr>
      <w:r>
        <w:t xml:space="preserve">Suggested </w:t>
      </w:r>
      <w:r w:rsidR="007B0826">
        <w:t>Citation</w:t>
      </w:r>
      <w:r w:rsidR="00495C30">
        <w:t>s</w:t>
      </w:r>
      <w:r w:rsidR="007B0826">
        <w:t xml:space="preserve"> </w:t>
      </w:r>
      <w:r>
        <w:t>and DOIs</w:t>
      </w:r>
    </w:p>
    <w:p w14:paraId="75570088" w14:textId="2BCA2F36" w:rsidR="0028558B" w:rsidRDefault="0028558B">
      <w:pPr>
        <w:pStyle w:val="NoSpacing"/>
      </w:pPr>
      <w:r>
        <w:t>When using these datasets, use the suggested APA-styled citations below.</w:t>
      </w:r>
    </w:p>
    <w:p w14:paraId="25BC5985" w14:textId="77777777" w:rsidR="0028558B" w:rsidRDefault="0028558B" w:rsidP="002061AF">
      <w:pPr>
        <w:pStyle w:val="NoSpacing"/>
      </w:pPr>
    </w:p>
    <w:p w14:paraId="4B90BBD9" w14:textId="003D3771" w:rsidR="001D4327" w:rsidRDefault="001D4327" w:rsidP="001D4327">
      <w:pPr>
        <w:pStyle w:val="NoSpacing"/>
        <w:ind w:left="720" w:hanging="720"/>
      </w:pPr>
      <w:proofErr w:type="spellStart"/>
      <w:r>
        <w:t>Hakkenberg</w:t>
      </w:r>
      <w:proofErr w:type="spellEnd"/>
      <w:r>
        <w:t>, C. R. (2018). Greater Houston Land Cover Change Dataset: 1997-2017 (Version 2) [</w:t>
      </w:r>
      <w:r w:rsidRPr="003B20B0">
        <w:t>Data</w:t>
      </w:r>
      <w:r>
        <w:t> </w:t>
      </w:r>
      <w:r w:rsidRPr="003B20B0">
        <w:t>set</w:t>
      </w:r>
      <w:r>
        <w:t>]. Rice University-Kinder Institute: UDP. https://doi.org/10.25612/837.zbn96g5x658z</w:t>
      </w:r>
    </w:p>
    <w:p w14:paraId="0A834176" w14:textId="77777777" w:rsidR="001D4327" w:rsidRDefault="001D4327" w:rsidP="001D4327">
      <w:pPr>
        <w:pStyle w:val="NoSpacing"/>
        <w:ind w:left="720" w:hanging="720"/>
      </w:pPr>
    </w:p>
    <w:p w14:paraId="6873063C" w14:textId="47BB5D46" w:rsidR="001D4327" w:rsidRDefault="001D4327" w:rsidP="001D4327">
      <w:pPr>
        <w:pStyle w:val="NoSpacing"/>
        <w:ind w:left="720" w:hanging="720"/>
      </w:pPr>
      <w:proofErr w:type="spellStart"/>
      <w:r w:rsidRPr="00FC0137">
        <w:t>Hakkenberg</w:t>
      </w:r>
      <w:proofErr w:type="spellEnd"/>
      <w:r w:rsidRPr="00FC0137">
        <w:t>, C. R. (2018). Greater Houston Land Cover Change Dataset: 1997-2017 (Version 3) [Data</w:t>
      </w:r>
      <w:r>
        <w:t> </w:t>
      </w:r>
      <w:r w:rsidRPr="00FC0137">
        <w:t>set]. Rice University-Kinder Institute: UDP. https://doi.org/10.25612/837.zky64nnmo9y3</w:t>
      </w:r>
    </w:p>
    <w:p w14:paraId="546BEDDB" w14:textId="77777777" w:rsidR="001D4327" w:rsidRDefault="001D4327" w:rsidP="001627BD">
      <w:pPr>
        <w:pStyle w:val="NoSpacing"/>
        <w:ind w:left="720" w:hanging="720"/>
      </w:pPr>
    </w:p>
    <w:p w14:paraId="67F87808" w14:textId="62DE9F88" w:rsidR="00046B7D" w:rsidRDefault="002061AF" w:rsidP="001627BD">
      <w:pPr>
        <w:pStyle w:val="NoSpacing"/>
        <w:ind w:left="720" w:hanging="720"/>
      </w:pPr>
      <w:proofErr w:type="spellStart"/>
      <w:r>
        <w:t>Hakkenberg</w:t>
      </w:r>
      <w:proofErr w:type="spellEnd"/>
      <w:r>
        <w:t xml:space="preserve">, C. R. (2018). Greater Houston Land Cover Change Dataset: 1997-2017 (Version </w:t>
      </w:r>
      <w:r w:rsidR="00046B7D">
        <w:t>4</w:t>
      </w:r>
      <w:r>
        <w:t>) [Data</w:t>
      </w:r>
      <w:r w:rsidR="001D4327">
        <w:t> </w:t>
      </w:r>
      <w:r>
        <w:t xml:space="preserve">set]. Rice University-Kinder Institute: UDP. </w:t>
      </w:r>
      <w:r w:rsidR="001D4327" w:rsidRPr="001627BD">
        <w:t>https://doi.org/10.25612/837.al72581lw7md</w:t>
      </w:r>
    </w:p>
    <w:p w14:paraId="743E6B26" w14:textId="77777777" w:rsidR="001D4327" w:rsidRPr="001627BD" w:rsidRDefault="001D4327" w:rsidP="001627BD">
      <w:pPr>
        <w:pStyle w:val="NoSpacing"/>
        <w:ind w:left="720" w:hanging="720"/>
      </w:pPr>
    </w:p>
    <w:p w14:paraId="3B934037" w14:textId="0D456EE9" w:rsidR="00046B7D" w:rsidRPr="001627BD" w:rsidRDefault="00FC0137" w:rsidP="001627BD">
      <w:pPr>
        <w:pStyle w:val="NoSpacing"/>
        <w:ind w:left="720" w:hanging="720"/>
      </w:pPr>
      <w:proofErr w:type="spellStart"/>
      <w:r w:rsidRPr="00FC0137">
        <w:t>Hakkenberg</w:t>
      </w:r>
      <w:proofErr w:type="spellEnd"/>
      <w:r w:rsidRPr="00FC0137">
        <w:t xml:space="preserve">, C. R. (2018). Greater Houston Land Cover Change Dataset: 1997-2017 (Version </w:t>
      </w:r>
      <w:r w:rsidR="00046B7D">
        <w:t>5</w:t>
      </w:r>
      <w:r w:rsidRPr="00FC0137">
        <w:t>) [Data</w:t>
      </w:r>
      <w:r w:rsidR="001D4327">
        <w:t> </w:t>
      </w:r>
      <w:r w:rsidRPr="00FC0137">
        <w:t>set]. Rice University-Kinder Institute: UDP. https://doi.org/</w:t>
      </w:r>
      <w:r w:rsidR="00046B7D" w:rsidRPr="001627BD">
        <w:t>10.25612/837.5mloxpp803wq</w:t>
      </w:r>
    </w:p>
    <w:p w14:paraId="33DAA8CE" w14:textId="3BBC99AA" w:rsidR="00777CE3" w:rsidRDefault="00777CE3" w:rsidP="00C63345">
      <w:pPr>
        <w:pStyle w:val="NoSpacing"/>
        <w:ind w:left="720" w:hanging="720"/>
      </w:pPr>
    </w:p>
    <w:p w14:paraId="0A3EA49A" w14:textId="228012CD" w:rsidR="001D4327" w:rsidRDefault="0028558B" w:rsidP="0028558B">
      <w:pPr>
        <w:pStyle w:val="NoSpacing"/>
      </w:pPr>
      <w:r>
        <w:t xml:space="preserve">Alternatively, go to </w:t>
      </w:r>
      <w:hyperlink r:id="rId8" w:history="1">
        <w:r w:rsidRPr="006B0C4D">
          <w:rPr>
            <w:rStyle w:val="Hyperlink"/>
          </w:rPr>
          <w:t>https://citation.crosscite.org/</w:t>
        </w:r>
      </w:hyperlink>
      <w:r>
        <w:t xml:space="preserve"> and enter the </w:t>
      </w:r>
      <w:r w:rsidR="001D4327">
        <w:t xml:space="preserve">following </w:t>
      </w:r>
      <w:r>
        <w:t>digital object identifiers</w:t>
      </w:r>
      <w:r w:rsidR="001D4327">
        <w:t xml:space="preserve"> </w:t>
      </w:r>
      <w:r>
        <w:t>to</w:t>
      </w:r>
      <w:r w:rsidR="000F00A3">
        <w:t xml:space="preserve"> </w:t>
      </w:r>
      <w:r>
        <w:t>generate a citation in the style of your choic</w:t>
      </w:r>
      <w:r w:rsidR="001D4327">
        <w:t>e.</w:t>
      </w:r>
    </w:p>
    <w:p w14:paraId="6DF18401" w14:textId="77777777" w:rsidR="001D4327" w:rsidRDefault="001D4327" w:rsidP="0028558B">
      <w:pPr>
        <w:pStyle w:val="NoSpacing"/>
      </w:pPr>
    </w:p>
    <w:tbl>
      <w:tblPr>
        <w:tblStyle w:val="GridTable1Light-Accent1"/>
        <w:tblW w:w="0" w:type="auto"/>
        <w:jc w:val="center"/>
        <w:tblLook w:val="04A0" w:firstRow="1" w:lastRow="0" w:firstColumn="1" w:lastColumn="0" w:noHBand="0" w:noVBand="1"/>
      </w:tblPr>
      <w:tblGrid>
        <w:gridCol w:w="1165"/>
        <w:gridCol w:w="3240"/>
      </w:tblGrid>
      <w:tr w:rsidR="000F00A3" w14:paraId="34B7DEC4" w14:textId="77777777" w:rsidTr="001627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6F89D7F9" w14:textId="64F8A392" w:rsidR="000F00A3" w:rsidRDefault="000F00A3" w:rsidP="001627BD">
            <w:pPr>
              <w:pStyle w:val="NoSpacing"/>
              <w:jc w:val="center"/>
            </w:pPr>
            <w:r>
              <w:t>Version</w:t>
            </w:r>
          </w:p>
        </w:tc>
        <w:tc>
          <w:tcPr>
            <w:tcW w:w="3240" w:type="dxa"/>
          </w:tcPr>
          <w:p w14:paraId="162F6EBC" w14:textId="1CC742AC" w:rsidR="000F00A3" w:rsidRDefault="000F00A3" w:rsidP="0028558B">
            <w:pPr>
              <w:pStyle w:val="NoSpacing"/>
              <w:cnfStyle w:val="100000000000" w:firstRow="1" w:lastRow="0" w:firstColumn="0" w:lastColumn="0" w:oddVBand="0" w:evenVBand="0" w:oddHBand="0" w:evenHBand="0" w:firstRowFirstColumn="0" w:firstRowLastColumn="0" w:lastRowFirstColumn="0" w:lastRowLastColumn="0"/>
            </w:pPr>
            <w:r>
              <w:t>Digital Object Identifier (DOI)</w:t>
            </w:r>
          </w:p>
        </w:tc>
      </w:tr>
      <w:tr w:rsidR="000F00A3" w14:paraId="02BEB0CE" w14:textId="77777777" w:rsidTr="001627BD">
        <w:trPr>
          <w:jc w:val="center"/>
        </w:trPr>
        <w:tc>
          <w:tcPr>
            <w:cnfStyle w:val="001000000000" w:firstRow="0" w:lastRow="0" w:firstColumn="1" w:lastColumn="0" w:oddVBand="0" w:evenVBand="0" w:oddHBand="0" w:evenHBand="0" w:firstRowFirstColumn="0" w:firstRowLastColumn="0" w:lastRowFirstColumn="0" w:lastRowLastColumn="0"/>
            <w:tcW w:w="1165" w:type="dxa"/>
          </w:tcPr>
          <w:p w14:paraId="0CE9CF16" w14:textId="31A7FADF" w:rsidR="000F00A3" w:rsidRDefault="000F00A3" w:rsidP="001627BD">
            <w:pPr>
              <w:pStyle w:val="NoSpacing"/>
              <w:jc w:val="center"/>
            </w:pPr>
            <w:r>
              <w:t>2</w:t>
            </w:r>
          </w:p>
        </w:tc>
        <w:tc>
          <w:tcPr>
            <w:tcW w:w="3240" w:type="dxa"/>
          </w:tcPr>
          <w:p w14:paraId="00BA3638" w14:textId="216269A0" w:rsidR="000F00A3" w:rsidRDefault="000F00A3" w:rsidP="0028558B">
            <w:pPr>
              <w:pStyle w:val="NoSpacing"/>
              <w:cnfStyle w:val="000000000000" w:firstRow="0" w:lastRow="0" w:firstColumn="0" w:lastColumn="0" w:oddVBand="0" w:evenVBand="0" w:oddHBand="0" w:evenHBand="0" w:firstRowFirstColumn="0" w:firstRowLastColumn="0" w:lastRowFirstColumn="0" w:lastRowLastColumn="0"/>
            </w:pPr>
            <w:r>
              <w:t>10.25612/837.zbn96g5x658z</w:t>
            </w:r>
          </w:p>
        </w:tc>
      </w:tr>
      <w:tr w:rsidR="000F00A3" w14:paraId="3AC9004D" w14:textId="77777777" w:rsidTr="001627BD">
        <w:trPr>
          <w:jc w:val="center"/>
        </w:trPr>
        <w:tc>
          <w:tcPr>
            <w:cnfStyle w:val="001000000000" w:firstRow="0" w:lastRow="0" w:firstColumn="1" w:lastColumn="0" w:oddVBand="0" w:evenVBand="0" w:oddHBand="0" w:evenHBand="0" w:firstRowFirstColumn="0" w:firstRowLastColumn="0" w:lastRowFirstColumn="0" w:lastRowLastColumn="0"/>
            <w:tcW w:w="1165" w:type="dxa"/>
          </w:tcPr>
          <w:p w14:paraId="689173A0" w14:textId="145006E5" w:rsidR="000F00A3" w:rsidRDefault="000F00A3" w:rsidP="001627BD">
            <w:pPr>
              <w:pStyle w:val="NoSpacing"/>
              <w:jc w:val="center"/>
            </w:pPr>
            <w:r>
              <w:t>3</w:t>
            </w:r>
          </w:p>
        </w:tc>
        <w:tc>
          <w:tcPr>
            <w:tcW w:w="3240" w:type="dxa"/>
          </w:tcPr>
          <w:p w14:paraId="2F0DAD95" w14:textId="60D0B7F5" w:rsidR="000F00A3" w:rsidRDefault="000F00A3" w:rsidP="0028558B">
            <w:pPr>
              <w:pStyle w:val="NoSpacing"/>
              <w:cnfStyle w:val="000000000000" w:firstRow="0" w:lastRow="0" w:firstColumn="0" w:lastColumn="0" w:oddVBand="0" w:evenVBand="0" w:oddHBand="0" w:evenHBand="0" w:firstRowFirstColumn="0" w:firstRowLastColumn="0" w:lastRowFirstColumn="0" w:lastRowLastColumn="0"/>
            </w:pPr>
            <w:r w:rsidRPr="00FC0137">
              <w:t>10.25612/837.zky64nnmo9y3</w:t>
            </w:r>
          </w:p>
        </w:tc>
      </w:tr>
      <w:tr w:rsidR="000F00A3" w14:paraId="426C3C66" w14:textId="77777777" w:rsidTr="001627BD">
        <w:trPr>
          <w:jc w:val="center"/>
        </w:trPr>
        <w:tc>
          <w:tcPr>
            <w:cnfStyle w:val="001000000000" w:firstRow="0" w:lastRow="0" w:firstColumn="1" w:lastColumn="0" w:oddVBand="0" w:evenVBand="0" w:oddHBand="0" w:evenHBand="0" w:firstRowFirstColumn="0" w:firstRowLastColumn="0" w:lastRowFirstColumn="0" w:lastRowLastColumn="0"/>
            <w:tcW w:w="1165" w:type="dxa"/>
          </w:tcPr>
          <w:p w14:paraId="4C1D5546" w14:textId="5D253669" w:rsidR="000F00A3" w:rsidRDefault="000F00A3" w:rsidP="001627BD">
            <w:pPr>
              <w:pStyle w:val="NoSpacing"/>
              <w:jc w:val="center"/>
            </w:pPr>
            <w:r>
              <w:t>4</w:t>
            </w:r>
          </w:p>
        </w:tc>
        <w:tc>
          <w:tcPr>
            <w:tcW w:w="3240" w:type="dxa"/>
          </w:tcPr>
          <w:p w14:paraId="1C5D4D53" w14:textId="7DFC6EB9" w:rsidR="000F00A3" w:rsidRDefault="000F00A3" w:rsidP="001627BD">
            <w:pPr>
              <w:pStyle w:val="NoSpacing"/>
              <w:ind w:left="720" w:hanging="720"/>
              <w:cnfStyle w:val="000000000000" w:firstRow="0" w:lastRow="0" w:firstColumn="0" w:lastColumn="0" w:oddVBand="0" w:evenVBand="0" w:oddHBand="0" w:evenHBand="0" w:firstRowFirstColumn="0" w:firstRowLastColumn="0" w:lastRowFirstColumn="0" w:lastRowLastColumn="0"/>
            </w:pPr>
            <w:r w:rsidRPr="00BC0E5F">
              <w:t>10.25612/837.al72581lw7md</w:t>
            </w:r>
          </w:p>
        </w:tc>
      </w:tr>
      <w:tr w:rsidR="000F00A3" w14:paraId="33BF68B8" w14:textId="77777777" w:rsidTr="001627BD">
        <w:trPr>
          <w:jc w:val="center"/>
        </w:trPr>
        <w:tc>
          <w:tcPr>
            <w:cnfStyle w:val="001000000000" w:firstRow="0" w:lastRow="0" w:firstColumn="1" w:lastColumn="0" w:oddVBand="0" w:evenVBand="0" w:oddHBand="0" w:evenHBand="0" w:firstRowFirstColumn="0" w:firstRowLastColumn="0" w:lastRowFirstColumn="0" w:lastRowLastColumn="0"/>
            <w:tcW w:w="1165" w:type="dxa"/>
          </w:tcPr>
          <w:p w14:paraId="4D55E753" w14:textId="77A55553" w:rsidR="000F00A3" w:rsidRDefault="000F00A3" w:rsidP="001627BD">
            <w:pPr>
              <w:pStyle w:val="NoSpacing"/>
              <w:jc w:val="center"/>
            </w:pPr>
            <w:r>
              <w:t>5</w:t>
            </w:r>
          </w:p>
        </w:tc>
        <w:tc>
          <w:tcPr>
            <w:tcW w:w="3240" w:type="dxa"/>
          </w:tcPr>
          <w:p w14:paraId="739845EC" w14:textId="5F13BD79" w:rsidR="000F00A3" w:rsidRDefault="000F00A3" w:rsidP="0028558B">
            <w:pPr>
              <w:pStyle w:val="NoSpacing"/>
              <w:cnfStyle w:val="000000000000" w:firstRow="0" w:lastRow="0" w:firstColumn="0" w:lastColumn="0" w:oddVBand="0" w:evenVBand="0" w:oddHBand="0" w:evenHBand="0" w:firstRowFirstColumn="0" w:firstRowLastColumn="0" w:lastRowFirstColumn="0" w:lastRowLastColumn="0"/>
            </w:pPr>
            <w:r w:rsidRPr="00BC0E5F">
              <w:t>10.25612/837.5mloxpp803wq</w:t>
            </w:r>
          </w:p>
        </w:tc>
      </w:tr>
    </w:tbl>
    <w:p w14:paraId="5EF1F2A4" w14:textId="77777777" w:rsidR="000F00A3" w:rsidRDefault="000F00A3" w:rsidP="0028558B">
      <w:pPr>
        <w:pStyle w:val="NoSpacing"/>
      </w:pPr>
    </w:p>
    <w:p w14:paraId="1064A4AD" w14:textId="77777777" w:rsidR="00735F79" w:rsidRDefault="00735F79" w:rsidP="00F74537">
      <w:pPr>
        <w:pStyle w:val="Heading2"/>
      </w:pPr>
      <w:r w:rsidRPr="007B0826">
        <w:t>Processing</w:t>
      </w:r>
    </w:p>
    <w:p w14:paraId="0BD9605D" w14:textId="131EB859" w:rsidR="00777CE3" w:rsidRDefault="00FC0137" w:rsidP="00495C30">
      <w:pPr>
        <w:pStyle w:val="Heading3"/>
      </w:pPr>
      <w:r>
        <w:t>Class Descriptions for v</w:t>
      </w:r>
      <w:r w:rsidR="000F00A3">
        <w:t>02, v03, v</w:t>
      </w:r>
      <w:r>
        <w:t>0</w:t>
      </w:r>
      <w:r w:rsidR="00C05840">
        <w:t>4</w:t>
      </w:r>
      <w:r w:rsidR="000F00A3">
        <w:t>,</w:t>
      </w:r>
      <w:r>
        <w:t xml:space="preserve"> and v0</w:t>
      </w:r>
      <w:r w:rsidR="00C05840">
        <w:t>5</w:t>
      </w:r>
    </w:p>
    <w:tbl>
      <w:tblPr>
        <w:tblStyle w:val="GridTable1Light-Accent1"/>
        <w:tblW w:w="0" w:type="auto"/>
        <w:tblLayout w:type="fixed"/>
        <w:tblLook w:val="0000" w:firstRow="0" w:lastRow="0" w:firstColumn="0" w:lastColumn="0" w:noHBand="0" w:noVBand="0"/>
      </w:tblPr>
      <w:tblGrid>
        <w:gridCol w:w="715"/>
        <w:gridCol w:w="1959"/>
        <w:gridCol w:w="1353"/>
        <w:gridCol w:w="5148"/>
      </w:tblGrid>
      <w:tr w:rsidR="00777CE3" w:rsidRPr="004E5E91" w14:paraId="4C2EEE4A" w14:textId="77777777" w:rsidTr="006B77B7">
        <w:trPr>
          <w:trHeight w:val="581"/>
        </w:trPr>
        <w:tc>
          <w:tcPr>
            <w:tcW w:w="715" w:type="dxa"/>
          </w:tcPr>
          <w:p w14:paraId="745202B5" w14:textId="77777777" w:rsidR="00777CE3" w:rsidRPr="004E5E91" w:rsidRDefault="00777CE3" w:rsidP="006B77B7">
            <w:pPr>
              <w:autoSpaceDE w:val="0"/>
              <w:autoSpaceDN w:val="0"/>
              <w:adjustRightInd w:val="0"/>
              <w:jc w:val="center"/>
              <w:rPr>
                <w:rFonts w:ascii="Calibri" w:hAnsi="Calibri" w:cs="Calibri"/>
                <w:b/>
                <w:bCs/>
                <w:color w:val="000000"/>
              </w:rPr>
            </w:pPr>
            <w:r w:rsidRPr="004E5E91">
              <w:rPr>
                <w:rFonts w:ascii="Calibri" w:hAnsi="Calibri" w:cs="Calibri"/>
                <w:b/>
                <w:bCs/>
                <w:color w:val="000000"/>
              </w:rPr>
              <w:t>Class code</w:t>
            </w:r>
          </w:p>
        </w:tc>
        <w:tc>
          <w:tcPr>
            <w:tcW w:w="1959" w:type="dxa"/>
          </w:tcPr>
          <w:p w14:paraId="093ED756" w14:textId="77777777" w:rsidR="00777CE3" w:rsidRPr="004E5E91" w:rsidRDefault="00777CE3" w:rsidP="006B77B7">
            <w:pPr>
              <w:autoSpaceDE w:val="0"/>
              <w:autoSpaceDN w:val="0"/>
              <w:adjustRightInd w:val="0"/>
              <w:jc w:val="center"/>
              <w:rPr>
                <w:rFonts w:ascii="Calibri" w:hAnsi="Calibri" w:cs="Calibri"/>
                <w:b/>
                <w:bCs/>
                <w:color w:val="000000"/>
              </w:rPr>
            </w:pPr>
            <w:r w:rsidRPr="004E5E91">
              <w:rPr>
                <w:rFonts w:ascii="Calibri" w:hAnsi="Calibri" w:cs="Calibri"/>
                <w:b/>
                <w:bCs/>
                <w:color w:val="000000"/>
              </w:rPr>
              <w:t>Class name</w:t>
            </w:r>
          </w:p>
        </w:tc>
        <w:tc>
          <w:tcPr>
            <w:tcW w:w="1353" w:type="dxa"/>
          </w:tcPr>
          <w:p w14:paraId="4AD7C234" w14:textId="77777777" w:rsidR="00777CE3" w:rsidRPr="004E5E91" w:rsidRDefault="00777CE3" w:rsidP="006B77B7">
            <w:pPr>
              <w:autoSpaceDE w:val="0"/>
              <w:autoSpaceDN w:val="0"/>
              <w:adjustRightInd w:val="0"/>
              <w:jc w:val="center"/>
              <w:rPr>
                <w:rFonts w:ascii="Calibri" w:hAnsi="Calibri" w:cs="Calibri"/>
                <w:b/>
                <w:bCs/>
                <w:color w:val="000000"/>
              </w:rPr>
            </w:pPr>
            <w:r w:rsidRPr="004E5E91">
              <w:rPr>
                <w:rFonts w:ascii="Calibri" w:hAnsi="Calibri" w:cs="Calibri"/>
                <w:b/>
                <w:bCs/>
                <w:color w:val="000000"/>
              </w:rPr>
              <w:t>NLCD equivalent</w:t>
            </w:r>
          </w:p>
        </w:tc>
        <w:tc>
          <w:tcPr>
            <w:tcW w:w="5148" w:type="dxa"/>
          </w:tcPr>
          <w:p w14:paraId="52421510" w14:textId="77777777" w:rsidR="00777CE3" w:rsidRPr="004E5E91" w:rsidRDefault="00777CE3" w:rsidP="006B77B7">
            <w:pPr>
              <w:autoSpaceDE w:val="0"/>
              <w:autoSpaceDN w:val="0"/>
              <w:adjustRightInd w:val="0"/>
              <w:jc w:val="center"/>
              <w:rPr>
                <w:rFonts w:ascii="Calibri" w:hAnsi="Calibri" w:cs="Calibri"/>
                <w:b/>
                <w:bCs/>
                <w:color w:val="000000"/>
              </w:rPr>
            </w:pPr>
            <w:r w:rsidRPr="004E5E91">
              <w:rPr>
                <w:rFonts w:ascii="Calibri" w:hAnsi="Calibri" w:cs="Calibri"/>
                <w:b/>
                <w:bCs/>
                <w:color w:val="000000"/>
              </w:rPr>
              <w:t>Class description</w:t>
            </w:r>
          </w:p>
        </w:tc>
      </w:tr>
      <w:tr w:rsidR="00777CE3" w:rsidRPr="004E5E91" w14:paraId="62F22495" w14:textId="77777777" w:rsidTr="006B77B7">
        <w:trPr>
          <w:trHeight w:val="935"/>
        </w:trPr>
        <w:tc>
          <w:tcPr>
            <w:tcW w:w="715" w:type="dxa"/>
          </w:tcPr>
          <w:p w14:paraId="3F7860CE"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1</w:t>
            </w:r>
          </w:p>
        </w:tc>
        <w:tc>
          <w:tcPr>
            <w:tcW w:w="1959" w:type="dxa"/>
          </w:tcPr>
          <w:p w14:paraId="08268319" w14:textId="77777777" w:rsidR="00777CE3" w:rsidRPr="004E5E91" w:rsidRDefault="00777CE3" w:rsidP="006B77B7">
            <w:pPr>
              <w:autoSpaceDE w:val="0"/>
              <w:autoSpaceDN w:val="0"/>
              <w:adjustRightInd w:val="0"/>
              <w:rPr>
                <w:rFonts w:ascii="Calibri" w:hAnsi="Calibri" w:cs="Calibri"/>
                <w:color w:val="000000"/>
              </w:rPr>
            </w:pPr>
            <w:r w:rsidRPr="004E5E91">
              <w:rPr>
                <w:rFonts w:ascii="Calibri" w:hAnsi="Calibri" w:cs="Calibri"/>
                <w:color w:val="000000"/>
              </w:rPr>
              <w:t>Barren / Sand</w:t>
            </w:r>
          </w:p>
        </w:tc>
        <w:tc>
          <w:tcPr>
            <w:tcW w:w="1353" w:type="dxa"/>
          </w:tcPr>
          <w:p w14:paraId="48801BC4"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31</w:t>
            </w:r>
          </w:p>
        </w:tc>
        <w:tc>
          <w:tcPr>
            <w:tcW w:w="5148" w:type="dxa"/>
          </w:tcPr>
          <w:p w14:paraId="75B60531" w14:textId="77777777" w:rsidR="00777CE3" w:rsidRPr="004E5E91" w:rsidRDefault="00777CE3" w:rsidP="006B77B7">
            <w:pPr>
              <w:autoSpaceDE w:val="0"/>
              <w:autoSpaceDN w:val="0"/>
              <w:adjustRightInd w:val="0"/>
              <w:rPr>
                <w:rFonts w:ascii="Calibri" w:hAnsi="Calibri" w:cs="Calibri"/>
                <w:color w:val="000000"/>
              </w:rPr>
            </w:pPr>
            <w:proofErr w:type="spellStart"/>
            <w:r w:rsidRPr="004E5E91">
              <w:rPr>
                <w:rFonts w:ascii="Calibri" w:hAnsi="Calibri" w:cs="Calibri"/>
                <w:color w:val="000000"/>
              </w:rPr>
              <w:t>Anthropogenically</w:t>
            </w:r>
            <w:proofErr w:type="spellEnd"/>
            <w:r w:rsidRPr="004E5E91">
              <w:rPr>
                <w:rFonts w:ascii="Calibri" w:hAnsi="Calibri" w:cs="Calibri"/>
                <w:color w:val="000000"/>
              </w:rPr>
              <w:t xml:space="preserve"> impacted areas of unconsolidated dirt and rock (e.g. dirt lots, strip mines, gravel pits and other accumulations of earthen material).</w:t>
            </w:r>
          </w:p>
        </w:tc>
      </w:tr>
      <w:tr w:rsidR="00777CE3" w:rsidRPr="004E5E91" w14:paraId="1A521ABC" w14:textId="77777777" w:rsidTr="006B77B7">
        <w:trPr>
          <w:trHeight w:val="1970"/>
        </w:trPr>
        <w:tc>
          <w:tcPr>
            <w:tcW w:w="715" w:type="dxa"/>
          </w:tcPr>
          <w:p w14:paraId="7E7244A9"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2</w:t>
            </w:r>
          </w:p>
        </w:tc>
        <w:tc>
          <w:tcPr>
            <w:tcW w:w="1959" w:type="dxa"/>
          </w:tcPr>
          <w:p w14:paraId="00C1141D" w14:textId="77777777" w:rsidR="00777CE3" w:rsidRPr="004E5E91" w:rsidRDefault="00777CE3" w:rsidP="006B77B7">
            <w:pPr>
              <w:autoSpaceDE w:val="0"/>
              <w:autoSpaceDN w:val="0"/>
              <w:adjustRightInd w:val="0"/>
              <w:rPr>
                <w:rFonts w:ascii="Calibri" w:hAnsi="Calibri" w:cs="Calibri"/>
                <w:color w:val="000000"/>
              </w:rPr>
            </w:pPr>
            <w:r w:rsidRPr="004E5E91">
              <w:rPr>
                <w:rFonts w:ascii="Calibri" w:hAnsi="Calibri" w:cs="Calibri"/>
                <w:color w:val="000000"/>
              </w:rPr>
              <w:t xml:space="preserve">Developed </w:t>
            </w:r>
            <w:r>
              <w:rPr>
                <w:rFonts w:ascii="Calibri" w:hAnsi="Calibri" w:cs="Calibri"/>
                <w:color w:val="000000"/>
              </w:rPr>
              <w:t>–</w:t>
            </w:r>
            <w:r w:rsidRPr="004E5E91">
              <w:rPr>
                <w:rFonts w:ascii="Calibri" w:hAnsi="Calibri" w:cs="Calibri"/>
                <w:color w:val="000000"/>
              </w:rPr>
              <w:t xml:space="preserve"> open</w:t>
            </w:r>
          </w:p>
        </w:tc>
        <w:tc>
          <w:tcPr>
            <w:tcW w:w="1353" w:type="dxa"/>
          </w:tcPr>
          <w:p w14:paraId="0A2D54CF"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21</w:t>
            </w:r>
          </w:p>
        </w:tc>
        <w:tc>
          <w:tcPr>
            <w:tcW w:w="5148" w:type="dxa"/>
          </w:tcPr>
          <w:p w14:paraId="081B4C7D" w14:textId="77777777" w:rsidR="00777CE3" w:rsidRPr="004E5E91" w:rsidRDefault="00777CE3" w:rsidP="006B77B7">
            <w:pPr>
              <w:autoSpaceDE w:val="0"/>
              <w:autoSpaceDN w:val="0"/>
              <w:adjustRightInd w:val="0"/>
              <w:rPr>
                <w:rFonts w:ascii="Calibri" w:hAnsi="Calibri" w:cs="Calibri"/>
                <w:color w:val="000000"/>
              </w:rPr>
            </w:pPr>
            <w:r w:rsidRPr="004E5E91">
              <w:rPr>
                <w:rFonts w:ascii="Calibri" w:hAnsi="Calibri" w:cs="Calibri"/>
                <w:color w:val="000000"/>
              </w:rPr>
              <w:t>Includes areas with a mixture of some constructed materials, but mostly vegetation in the form of lawn grasses. Impervious surfaces account for less than 20 percent of total cover. These areas most commonly include large-lot single-family housing units, parks, golf courses, and vegetation planted in developed settings for recreation, erosion control, or aesthetic purposes.</w:t>
            </w:r>
          </w:p>
        </w:tc>
      </w:tr>
      <w:tr w:rsidR="00777CE3" w:rsidRPr="004E5E91" w14:paraId="0C3838D1" w14:textId="77777777" w:rsidTr="006B77B7">
        <w:trPr>
          <w:trHeight w:val="1160"/>
        </w:trPr>
        <w:tc>
          <w:tcPr>
            <w:tcW w:w="715" w:type="dxa"/>
          </w:tcPr>
          <w:p w14:paraId="5AD86CC8"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lastRenderedPageBreak/>
              <w:t>4</w:t>
            </w:r>
          </w:p>
        </w:tc>
        <w:tc>
          <w:tcPr>
            <w:tcW w:w="1959" w:type="dxa"/>
          </w:tcPr>
          <w:p w14:paraId="3BD22BFB" w14:textId="77777777" w:rsidR="00777CE3" w:rsidRPr="004E5E91" w:rsidRDefault="00777CE3" w:rsidP="006B77B7">
            <w:pPr>
              <w:autoSpaceDE w:val="0"/>
              <w:autoSpaceDN w:val="0"/>
              <w:adjustRightInd w:val="0"/>
              <w:rPr>
                <w:rFonts w:ascii="Calibri" w:hAnsi="Calibri" w:cs="Calibri"/>
                <w:color w:val="000000"/>
              </w:rPr>
            </w:pPr>
            <w:r w:rsidRPr="004E5E91">
              <w:rPr>
                <w:rFonts w:ascii="Calibri" w:hAnsi="Calibri" w:cs="Calibri"/>
                <w:color w:val="000000"/>
              </w:rPr>
              <w:t>Developed – low intensity</w:t>
            </w:r>
          </w:p>
        </w:tc>
        <w:tc>
          <w:tcPr>
            <w:tcW w:w="1353" w:type="dxa"/>
          </w:tcPr>
          <w:p w14:paraId="08EE0CF6"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22</w:t>
            </w:r>
          </w:p>
        </w:tc>
        <w:tc>
          <w:tcPr>
            <w:tcW w:w="5148" w:type="dxa"/>
          </w:tcPr>
          <w:p w14:paraId="2F73E580" w14:textId="77777777" w:rsidR="00777CE3" w:rsidRPr="004E5E91" w:rsidRDefault="00777CE3" w:rsidP="006B77B7">
            <w:pPr>
              <w:autoSpaceDE w:val="0"/>
              <w:autoSpaceDN w:val="0"/>
              <w:adjustRightInd w:val="0"/>
              <w:rPr>
                <w:rFonts w:ascii="Calibri" w:hAnsi="Calibri" w:cs="Calibri"/>
                <w:color w:val="000000"/>
              </w:rPr>
            </w:pPr>
            <w:r w:rsidRPr="004E5E91">
              <w:rPr>
                <w:rFonts w:ascii="Calibri" w:hAnsi="Calibri" w:cs="Calibri"/>
                <w:color w:val="000000"/>
              </w:rPr>
              <w:t>Includes areas with a mixture of constructed materials and vegetation. Impervious surfaces account for 20-49 percent of total cover. These areas most commonly include single-family housing units.</w:t>
            </w:r>
          </w:p>
        </w:tc>
      </w:tr>
      <w:tr w:rsidR="00777CE3" w:rsidRPr="004E5E91" w14:paraId="0CDB1A35" w14:textId="77777777" w:rsidTr="00495C30">
        <w:trPr>
          <w:trHeight w:val="1142"/>
        </w:trPr>
        <w:tc>
          <w:tcPr>
            <w:tcW w:w="715" w:type="dxa"/>
          </w:tcPr>
          <w:p w14:paraId="63E8712E"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8</w:t>
            </w:r>
          </w:p>
        </w:tc>
        <w:tc>
          <w:tcPr>
            <w:tcW w:w="1959" w:type="dxa"/>
          </w:tcPr>
          <w:p w14:paraId="674AE7F2" w14:textId="77777777" w:rsidR="00777CE3" w:rsidRPr="004E5E91" w:rsidRDefault="00777CE3" w:rsidP="006B77B7">
            <w:pPr>
              <w:autoSpaceDE w:val="0"/>
              <w:autoSpaceDN w:val="0"/>
              <w:adjustRightInd w:val="0"/>
              <w:rPr>
                <w:rFonts w:ascii="Calibri" w:hAnsi="Calibri" w:cs="Calibri"/>
                <w:color w:val="000000"/>
              </w:rPr>
            </w:pPr>
            <w:r w:rsidRPr="004E5E91">
              <w:rPr>
                <w:rFonts w:ascii="Calibri" w:hAnsi="Calibri" w:cs="Calibri"/>
                <w:color w:val="000000"/>
              </w:rPr>
              <w:t>Developed – medium intensity</w:t>
            </w:r>
          </w:p>
        </w:tc>
        <w:tc>
          <w:tcPr>
            <w:tcW w:w="1353" w:type="dxa"/>
          </w:tcPr>
          <w:p w14:paraId="3FB120E1"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23</w:t>
            </w:r>
          </w:p>
        </w:tc>
        <w:tc>
          <w:tcPr>
            <w:tcW w:w="5148" w:type="dxa"/>
          </w:tcPr>
          <w:p w14:paraId="09473C25" w14:textId="77777777" w:rsidR="00777CE3" w:rsidRPr="004E5E91" w:rsidRDefault="00777CE3" w:rsidP="006B77B7">
            <w:pPr>
              <w:autoSpaceDE w:val="0"/>
              <w:autoSpaceDN w:val="0"/>
              <w:adjustRightInd w:val="0"/>
              <w:rPr>
                <w:rFonts w:ascii="Calibri" w:hAnsi="Calibri" w:cs="Calibri"/>
                <w:color w:val="000000"/>
              </w:rPr>
            </w:pPr>
            <w:r w:rsidRPr="004E5E91">
              <w:rPr>
                <w:rFonts w:ascii="Calibri" w:hAnsi="Calibri" w:cs="Calibri"/>
                <w:color w:val="000000"/>
              </w:rPr>
              <w:t>Includes areas with a mixture of constructed materials and vegetation. Impervious surfaces account for 50-79 percent of the total cover. These areas most commonly include single-family housing units.</w:t>
            </w:r>
          </w:p>
        </w:tc>
      </w:tr>
      <w:tr w:rsidR="00777CE3" w:rsidRPr="004E5E91" w14:paraId="6860F57A" w14:textId="77777777" w:rsidTr="006B77B7">
        <w:trPr>
          <w:trHeight w:val="1430"/>
        </w:trPr>
        <w:tc>
          <w:tcPr>
            <w:tcW w:w="715" w:type="dxa"/>
          </w:tcPr>
          <w:p w14:paraId="4C8910A9"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13</w:t>
            </w:r>
          </w:p>
        </w:tc>
        <w:tc>
          <w:tcPr>
            <w:tcW w:w="1959" w:type="dxa"/>
          </w:tcPr>
          <w:p w14:paraId="41510015" w14:textId="77777777" w:rsidR="00777CE3" w:rsidRPr="004E5E91" w:rsidRDefault="00777CE3" w:rsidP="006B77B7">
            <w:pPr>
              <w:autoSpaceDE w:val="0"/>
              <w:autoSpaceDN w:val="0"/>
              <w:adjustRightInd w:val="0"/>
              <w:rPr>
                <w:rFonts w:ascii="Calibri" w:hAnsi="Calibri" w:cs="Calibri"/>
                <w:color w:val="000000"/>
              </w:rPr>
            </w:pPr>
            <w:r w:rsidRPr="004E5E91">
              <w:rPr>
                <w:rFonts w:ascii="Calibri" w:hAnsi="Calibri" w:cs="Calibri"/>
                <w:color w:val="000000"/>
              </w:rPr>
              <w:t>Developed – high intensity</w:t>
            </w:r>
          </w:p>
        </w:tc>
        <w:tc>
          <w:tcPr>
            <w:tcW w:w="1353" w:type="dxa"/>
          </w:tcPr>
          <w:p w14:paraId="5B7CF38E"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24</w:t>
            </w:r>
          </w:p>
        </w:tc>
        <w:tc>
          <w:tcPr>
            <w:tcW w:w="5148" w:type="dxa"/>
          </w:tcPr>
          <w:p w14:paraId="639864D4" w14:textId="77777777" w:rsidR="00777CE3" w:rsidRPr="004E5E91" w:rsidRDefault="00777CE3" w:rsidP="006B77B7">
            <w:pPr>
              <w:autoSpaceDE w:val="0"/>
              <w:autoSpaceDN w:val="0"/>
              <w:adjustRightInd w:val="0"/>
              <w:rPr>
                <w:rFonts w:ascii="Calibri" w:hAnsi="Calibri" w:cs="Calibri"/>
                <w:color w:val="000000"/>
              </w:rPr>
            </w:pPr>
            <w:r w:rsidRPr="004E5E91">
              <w:rPr>
                <w:rFonts w:ascii="Calibri" w:hAnsi="Calibri" w:cs="Calibri"/>
                <w:color w:val="000000"/>
              </w:rPr>
              <w:t>Includes highly developed areas where people reside or work in high numbers. Examples include apartment complexes, row houses and commercial/industrial. Impervious surfaces account for 80 to 100 percent of the total cover.</w:t>
            </w:r>
          </w:p>
        </w:tc>
      </w:tr>
      <w:tr w:rsidR="00777CE3" w:rsidRPr="004E5E91" w14:paraId="434AC3A0" w14:textId="77777777" w:rsidTr="006B77B7">
        <w:trPr>
          <w:trHeight w:val="2060"/>
        </w:trPr>
        <w:tc>
          <w:tcPr>
            <w:tcW w:w="715" w:type="dxa"/>
          </w:tcPr>
          <w:p w14:paraId="6AB628B4"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21</w:t>
            </w:r>
          </w:p>
        </w:tc>
        <w:tc>
          <w:tcPr>
            <w:tcW w:w="1959" w:type="dxa"/>
          </w:tcPr>
          <w:p w14:paraId="694463FE" w14:textId="77777777" w:rsidR="00777CE3" w:rsidRPr="004E5E91" w:rsidRDefault="00777CE3" w:rsidP="006B77B7">
            <w:pPr>
              <w:autoSpaceDE w:val="0"/>
              <w:autoSpaceDN w:val="0"/>
              <w:adjustRightInd w:val="0"/>
              <w:rPr>
                <w:rFonts w:ascii="Calibri" w:hAnsi="Calibri" w:cs="Calibri"/>
                <w:color w:val="000000"/>
              </w:rPr>
            </w:pPr>
            <w:r w:rsidRPr="004E5E91">
              <w:rPr>
                <w:rFonts w:ascii="Calibri" w:hAnsi="Calibri" w:cs="Calibri"/>
                <w:color w:val="000000"/>
              </w:rPr>
              <w:t>Agriculture</w:t>
            </w:r>
          </w:p>
        </w:tc>
        <w:tc>
          <w:tcPr>
            <w:tcW w:w="1353" w:type="dxa"/>
          </w:tcPr>
          <w:p w14:paraId="7FBD08F9"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82</w:t>
            </w:r>
          </w:p>
        </w:tc>
        <w:tc>
          <w:tcPr>
            <w:tcW w:w="5148" w:type="dxa"/>
          </w:tcPr>
          <w:p w14:paraId="120E2269" w14:textId="77777777" w:rsidR="00777CE3" w:rsidRPr="004E5E91" w:rsidRDefault="00777CE3" w:rsidP="006B77B7">
            <w:pPr>
              <w:autoSpaceDE w:val="0"/>
              <w:autoSpaceDN w:val="0"/>
              <w:adjustRightInd w:val="0"/>
              <w:rPr>
                <w:rFonts w:ascii="Calibri" w:hAnsi="Calibri" w:cs="Calibri"/>
                <w:color w:val="000000"/>
              </w:rPr>
            </w:pPr>
            <w:r w:rsidRPr="004E5E91">
              <w:rPr>
                <w:rFonts w:ascii="Calibri" w:hAnsi="Calibri" w:cs="Calibri"/>
                <w:color w:val="000000"/>
              </w:rPr>
              <w:t xml:space="preserve">Cultivated Crops </w:t>
            </w:r>
            <w:r>
              <w:rPr>
                <w:rFonts w:ascii="Calibri" w:hAnsi="Calibri" w:cs="Calibri"/>
                <w:color w:val="000000"/>
              </w:rPr>
              <w:t>–</w:t>
            </w:r>
            <w:r w:rsidRPr="004E5E91">
              <w:rPr>
                <w:rFonts w:ascii="Calibri" w:hAnsi="Calibri" w:cs="Calibri"/>
                <w:color w:val="000000"/>
              </w:rPr>
              <w:t xml:space="preserve"> Areas used for the production of annual crops, such as corn, soybeans, vegetables, tobacco, and cotton, and also perennial woody crops such as orchards and vineyards. Crop vegetation accounts for greater than 20 percent of total vegetation. This class also includes all land being actively tilled.</w:t>
            </w:r>
          </w:p>
        </w:tc>
      </w:tr>
      <w:tr w:rsidR="00777CE3" w:rsidRPr="004E5E91" w14:paraId="5EC678B0" w14:textId="77777777" w:rsidTr="006B77B7">
        <w:trPr>
          <w:trHeight w:val="1430"/>
        </w:trPr>
        <w:tc>
          <w:tcPr>
            <w:tcW w:w="715" w:type="dxa"/>
          </w:tcPr>
          <w:p w14:paraId="263FB4C8"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35</w:t>
            </w:r>
          </w:p>
        </w:tc>
        <w:tc>
          <w:tcPr>
            <w:tcW w:w="1959" w:type="dxa"/>
          </w:tcPr>
          <w:p w14:paraId="75072675" w14:textId="77777777" w:rsidR="00777CE3" w:rsidRPr="004E5E91" w:rsidRDefault="00777CE3" w:rsidP="006B77B7">
            <w:pPr>
              <w:autoSpaceDE w:val="0"/>
              <w:autoSpaceDN w:val="0"/>
              <w:adjustRightInd w:val="0"/>
              <w:rPr>
                <w:rFonts w:ascii="Calibri" w:hAnsi="Calibri" w:cs="Calibri"/>
                <w:color w:val="000000"/>
              </w:rPr>
            </w:pPr>
            <w:r w:rsidRPr="004E5E91">
              <w:rPr>
                <w:rFonts w:ascii="Calibri" w:hAnsi="Calibri" w:cs="Calibri"/>
                <w:color w:val="000000"/>
              </w:rPr>
              <w:t>Grassland / Pasture</w:t>
            </w:r>
          </w:p>
        </w:tc>
        <w:tc>
          <w:tcPr>
            <w:tcW w:w="1353" w:type="dxa"/>
          </w:tcPr>
          <w:p w14:paraId="2E5B537C"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71, 81, 95</w:t>
            </w:r>
          </w:p>
        </w:tc>
        <w:tc>
          <w:tcPr>
            <w:tcW w:w="5148" w:type="dxa"/>
          </w:tcPr>
          <w:p w14:paraId="009E94FE" w14:textId="77777777" w:rsidR="00777CE3" w:rsidRPr="004E5E91" w:rsidRDefault="00777CE3" w:rsidP="006B77B7">
            <w:pPr>
              <w:autoSpaceDE w:val="0"/>
              <w:autoSpaceDN w:val="0"/>
              <w:adjustRightInd w:val="0"/>
              <w:rPr>
                <w:rFonts w:ascii="Calibri" w:hAnsi="Calibri" w:cs="Calibri"/>
                <w:color w:val="000000"/>
              </w:rPr>
            </w:pPr>
            <w:proofErr w:type="gramStart"/>
            <w:r w:rsidRPr="004E5E91">
              <w:rPr>
                <w:rFonts w:ascii="Calibri" w:hAnsi="Calibri" w:cs="Calibri"/>
                <w:color w:val="000000"/>
              </w:rPr>
              <w:t>grassland/herbaceous/pasture</w:t>
            </w:r>
            <w:proofErr w:type="gramEnd"/>
            <w:r w:rsidRPr="004E5E91">
              <w:rPr>
                <w:rFonts w:ascii="Calibri" w:hAnsi="Calibri" w:cs="Calibri"/>
                <w:color w:val="000000"/>
              </w:rPr>
              <w:t xml:space="preserve"> </w:t>
            </w:r>
            <w:r>
              <w:rPr>
                <w:rFonts w:ascii="Calibri" w:hAnsi="Calibri" w:cs="Calibri"/>
                <w:color w:val="000000"/>
              </w:rPr>
              <w:t>–</w:t>
            </w:r>
            <w:r w:rsidRPr="004E5E91">
              <w:rPr>
                <w:rFonts w:ascii="Calibri" w:hAnsi="Calibri" w:cs="Calibri"/>
                <w:color w:val="000000"/>
              </w:rPr>
              <w:t xml:space="preserve"> Upland and wetland areas dominated by </w:t>
            </w:r>
            <w:proofErr w:type="spellStart"/>
            <w:r w:rsidRPr="004E5E91">
              <w:rPr>
                <w:rFonts w:ascii="Calibri" w:hAnsi="Calibri" w:cs="Calibri"/>
                <w:color w:val="000000"/>
              </w:rPr>
              <w:t>grammanoid</w:t>
            </w:r>
            <w:proofErr w:type="spellEnd"/>
            <w:r w:rsidRPr="004E5E91">
              <w:rPr>
                <w:rFonts w:ascii="Calibri" w:hAnsi="Calibri" w:cs="Calibri"/>
                <w:color w:val="000000"/>
              </w:rPr>
              <w:t xml:space="preserve"> or herbaceous vegetation. These areas may or may not be subject to intensive management such as tilling, grazing, or the production of seed or hay crops.</w:t>
            </w:r>
          </w:p>
        </w:tc>
      </w:tr>
      <w:tr w:rsidR="00777CE3" w:rsidRPr="004E5E91" w14:paraId="79F07279" w14:textId="77777777" w:rsidTr="006B77B7">
        <w:trPr>
          <w:trHeight w:val="1430"/>
        </w:trPr>
        <w:tc>
          <w:tcPr>
            <w:tcW w:w="715" w:type="dxa"/>
          </w:tcPr>
          <w:p w14:paraId="7F10DC6A"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50</w:t>
            </w:r>
          </w:p>
        </w:tc>
        <w:tc>
          <w:tcPr>
            <w:tcW w:w="1959" w:type="dxa"/>
          </w:tcPr>
          <w:p w14:paraId="44E4CA11" w14:textId="77777777" w:rsidR="00777CE3" w:rsidRPr="004E5E91" w:rsidRDefault="00777CE3" w:rsidP="006B77B7">
            <w:pPr>
              <w:autoSpaceDE w:val="0"/>
              <w:autoSpaceDN w:val="0"/>
              <w:adjustRightInd w:val="0"/>
              <w:rPr>
                <w:rFonts w:ascii="Calibri" w:hAnsi="Calibri" w:cs="Calibri"/>
                <w:color w:val="000000"/>
              </w:rPr>
            </w:pPr>
            <w:r w:rsidRPr="004E5E91">
              <w:rPr>
                <w:rFonts w:ascii="Calibri" w:hAnsi="Calibri" w:cs="Calibri"/>
                <w:color w:val="000000"/>
              </w:rPr>
              <w:t>Forest</w:t>
            </w:r>
          </w:p>
        </w:tc>
        <w:tc>
          <w:tcPr>
            <w:tcW w:w="1353" w:type="dxa"/>
          </w:tcPr>
          <w:p w14:paraId="1828B5E3"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41, 42, 43, 52, 90</w:t>
            </w:r>
          </w:p>
        </w:tc>
        <w:tc>
          <w:tcPr>
            <w:tcW w:w="5148" w:type="dxa"/>
          </w:tcPr>
          <w:p w14:paraId="6CD6726B" w14:textId="77777777" w:rsidR="00777CE3" w:rsidRPr="004E5E91" w:rsidRDefault="00777CE3" w:rsidP="006B77B7">
            <w:pPr>
              <w:autoSpaceDE w:val="0"/>
              <w:autoSpaceDN w:val="0"/>
              <w:adjustRightInd w:val="0"/>
              <w:rPr>
                <w:rFonts w:ascii="Calibri" w:hAnsi="Calibri" w:cs="Calibri"/>
                <w:color w:val="000000"/>
              </w:rPr>
            </w:pPr>
            <w:proofErr w:type="gramStart"/>
            <w:r w:rsidRPr="004E5E91">
              <w:rPr>
                <w:rFonts w:ascii="Calibri" w:hAnsi="Calibri" w:cs="Calibri"/>
                <w:color w:val="000000"/>
              </w:rPr>
              <w:t>grassland/herbaceous/pasture</w:t>
            </w:r>
            <w:proofErr w:type="gramEnd"/>
            <w:r w:rsidRPr="004E5E91">
              <w:rPr>
                <w:rFonts w:ascii="Calibri" w:hAnsi="Calibri" w:cs="Calibri"/>
                <w:color w:val="000000"/>
              </w:rPr>
              <w:t xml:space="preserve"> </w:t>
            </w:r>
            <w:r>
              <w:rPr>
                <w:rFonts w:ascii="Calibri" w:hAnsi="Calibri" w:cs="Calibri"/>
                <w:color w:val="000000"/>
              </w:rPr>
              <w:t>–</w:t>
            </w:r>
            <w:r w:rsidRPr="004E5E91">
              <w:rPr>
                <w:rFonts w:ascii="Calibri" w:hAnsi="Calibri" w:cs="Calibri"/>
                <w:color w:val="000000"/>
              </w:rPr>
              <w:t xml:space="preserve"> Upland and wetland areas dominated by </w:t>
            </w:r>
            <w:proofErr w:type="spellStart"/>
            <w:r w:rsidRPr="004E5E91">
              <w:rPr>
                <w:rFonts w:ascii="Calibri" w:hAnsi="Calibri" w:cs="Calibri"/>
                <w:color w:val="000000"/>
              </w:rPr>
              <w:t>grammanoid</w:t>
            </w:r>
            <w:proofErr w:type="spellEnd"/>
            <w:r w:rsidRPr="004E5E91">
              <w:rPr>
                <w:rFonts w:ascii="Calibri" w:hAnsi="Calibri" w:cs="Calibri"/>
                <w:color w:val="000000"/>
              </w:rPr>
              <w:t xml:space="preserve"> or herbaceous vegetation. These areas may or may not be subject to intensive management such as tilling, grazing, or the production of seed or hay crops.</w:t>
            </w:r>
          </w:p>
        </w:tc>
      </w:tr>
      <w:tr w:rsidR="00777CE3" w:rsidRPr="004E5E91" w14:paraId="261D81EB" w14:textId="77777777" w:rsidTr="006B77B7">
        <w:trPr>
          <w:trHeight w:val="290"/>
        </w:trPr>
        <w:tc>
          <w:tcPr>
            <w:tcW w:w="715" w:type="dxa"/>
          </w:tcPr>
          <w:p w14:paraId="186472B0"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71</w:t>
            </w:r>
          </w:p>
        </w:tc>
        <w:tc>
          <w:tcPr>
            <w:tcW w:w="1959" w:type="dxa"/>
          </w:tcPr>
          <w:p w14:paraId="60907E9C" w14:textId="77777777" w:rsidR="00777CE3" w:rsidRPr="004E5E91" w:rsidRDefault="00777CE3" w:rsidP="006B77B7">
            <w:pPr>
              <w:autoSpaceDE w:val="0"/>
              <w:autoSpaceDN w:val="0"/>
              <w:adjustRightInd w:val="0"/>
              <w:rPr>
                <w:rFonts w:ascii="Calibri" w:hAnsi="Calibri" w:cs="Calibri"/>
                <w:color w:val="000000"/>
              </w:rPr>
            </w:pPr>
            <w:r w:rsidRPr="004E5E91">
              <w:rPr>
                <w:rFonts w:ascii="Calibri" w:hAnsi="Calibri" w:cs="Calibri"/>
                <w:color w:val="000000"/>
              </w:rPr>
              <w:t>Water</w:t>
            </w:r>
          </w:p>
        </w:tc>
        <w:tc>
          <w:tcPr>
            <w:tcW w:w="1353" w:type="dxa"/>
          </w:tcPr>
          <w:p w14:paraId="22561B1D" w14:textId="77777777" w:rsidR="00777CE3" w:rsidRPr="004E5E91" w:rsidRDefault="00777CE3" w:rsidP="006B77B7">
            <w:pPr>
              <w:autoSpaceDE w:val="0"/>
              <w:autoSpaceDN w:val="0"/>
              <w:adjustRightInd w:val="0"/>
              <w:jc w:val="center"/>
              <w:rPr>
                <w:rFonts w:ascii="Calibri" w:hAnsi="Calibri" w:cs="Calibri"/>
                <w:color w:val="000000"/>
              </w:rPr>
            </w:pPr>
            <w:r w:rsidRPr="004E5E91">
              <w:rPr>
                <w:rFonts w:ascii="Calibri" w:hAnsi="Calibri" w:cs="Calibri"/>
                <w:color w:val="000000"/>
              </w:rPr>
              <w:t>11</w:t>
            </w:r>
          </w:p>
        </w:tc>
        <w:tc>
          <w:tcPr>
            <w:tcW w:w="5148" w:type="dxa"/>
          </w:tcPr>
          <w:p w14:paraId="5C5AE559" w14:textId="77777777" w:rsidR="00777CE3" w:rsidRPr="004E5E91" w:rsidRDefault="00777CE3" w:rsidP="006B77B7">
            <w:pPr>
              <w:autoSpaceDE w:val="0"/>
              <w:autoSpaceDN w:val="0"/>
              <w:adjustRightInd w:val="0"/>
              <w:rPr>
                <w:rFonts w:ascii="Calibri" w:hAnsi="Calibri" w:cs="Calibri"/>
                <w:color w:val="000000"/>
              </w:rPr>
            </w:pPr>
            <w:r w:rsidRPr="004E5E91">
              <w:rPr>
                <w:rFonts w:ascii="Calibri" w:hAnsi="Calibri" w:cs="Calibri"/>
                <w:color w:val="000000"/>
              </w:rPr>
              <w:t>All areas of open water.</w:t>
            </w:r>
          </w:p>
        </w:tc>
      </w:tr>
    </w:tbl>
    <w:p w14:paraId="2D5288BB" w14:textId="77777777" w:rsidR="00777CE3" w:rsidRDefault="00777CE3" w:rsidP="00495C30"/>
    <w:p w14:paraId="28575959" w14:textId="1C92F8E3" w:rsidR="00777CE3" w:rsidRDefault="00777CE3" w:rsidP="00777CE3">
      <w:pPr>
        <w:pStyle w:val="Heading3"/>
      </w:pPr>
      <w:r>
        <w:t xml:space="preserve">Geospatial </w:t>
      </w:r>
      <w:r w:rsidR="00FC0137">
        <w:t>Metadata</w:t>
      </w:r>
      <w:r>
        <w:t xml:space="preserve"> for v02</w:t>
      </w:r>
      <w:r w:rsidR="00CB6C07">
        <w:t xml:space="preserve">, </w:t>
      </w:r>
      <w:r>
        <w:t>v03</w:t>
      </w:r>
      <w:r w:rsidR="00CB6C07">
        <w:t>, v04, and v05</w:t>
      </w:r>
    </w:p>
    <w:p w14:paraId="3A0B65DA" w14:textId="77777777" w:rsidR="00777CE3" w:rsidRPr="00971F9A" w:rsidRDefault="00777CE3" w:rsidP="00777CE3">
      <w:pPr>
        <w:pStyle w:val="Heading4"/>
      </w:pPr>
      <w:r w:rsidRPr="00971F9A">
        <w:t>Temporal extent:</w:t>
      </w:r>
    </w:p>
    <w:p w14:paraId="624F30B6" w14:textId="77777777" w:rsidR="00777CE3" w:rsidRDefault="00777CE3" w:rsidP="00777CE3">
      <w:pPr>
        <w:pStyle w:val="NoSpacing"/>
      </w:pPr>
      <w:bookmarkStart w:id="0" w:name="_GoBack"/>
      <w:r>
        <w:t>1997-2017</w:t>
      </w:r>
    </w:p>
    <w:bookmarkEnd w:id="0"/>
    <w:p w14:paraId="130CB220" w14:textId="77777777" w:rsidR="00777CE3" w:rsidRDefault="00777CE3" w:rsidP="00777CE3">
      <w:pPr>
        <w:pStyle w:val="NoSpacing"/>
      </w:pPr>
    </w:p>
    <w:p w14:paraId="691A40B3" w14:textId="77777777" w:rsidR="00777CE3" w:rsidRDefault="00777CE3" w:rsidP="00777CE3">
      <w:pPr>
        <w:pStyle w:val="Heading4"/>
      </w:pPr>
      <w:r>
        <w:t>Spatial extent:</w:t>
      </w:r>
    </w:p>
    <w:p w14:paraId="2F311361" w14:textId="77777777" w:rsidR="00777CE3" w:rsidRDefault="00777CE3" w:rsidP="00777CE3">
      <w:pPr>
        <w:pStyle w:val="NoSpacing"/>
      </w:pPr>
      <w:r>
        <w:t>Houston-Galveston Area Council (H-GAC) 13-county area: Austin, Brazoria, Chambers, Colorado, Fort Bend, Galveston, Harris, Liberty, Matagorda, Montgomery, Walker, Waller, and Wharton counties.</w:t>
      </w:r>
    </w:p>
    <w:p w14:paraId="08C14FDA" w14:textId="77777777" w:rsidR="00777CE3" w:rsidRDefault="00777CE3" w:rsidP="00777CE3">
      <w:pPr>
        <w:pStyle w:val="NoSpacing"/>
      </w:pPr>
    </w:p>
    <w:p w14:paraId="7B2108FA" w14:textId="77777777" w:rsidR="00777CE3" w:rsidRPr="00971F9A" w:rsidRDefault="00777CE3" w:rsidP="00777CE3">
      <w:pPr>
        <w:pStyle w:val="Heading4"/>
      </w:pPr>
      <w:r w:rsidRPr="00971F9A">
        <w:t>Spatial resolution:</w:t>
      </w:r>
    </w:p>
    <w:p w14:paraId="3D625429" w14:textId="77777777" w:rsidR="00777CE3" w:rsidRDefault="00777CE3" w:rsidP="00777CE3">
      <w:pPr>
        <w:pStyle w:val="NoSpacing"/>
      </w:pPr>
      <w:r>
        <w:t xml:space="preserve">30m (98.40319 </w:t>
      </w:r>
      <w:proofErr w:type="spellStart"/>
      <w:r>
        <w:t>ft</w:t>
      </w:r>
      <w:proofErr w:type="spellEnd"/>
      <w:r>
        <w:t>)</w:t>
      </w:r>
    </w:p>
    <w:p w14:paraId="00436DC2" w14:textId="77777777" w:rsidR="00777CE3" w:rsidRDefault="00777CE3" w:rsidP="00777CE3">
      <w:pPr>
        <w:pStyle w:val="NoSpacing"/>
      </w:pPr>
    </w:p>
    <w:p w14:paraId="35D65C2E" w14:textId="77777777" w:rsidR="00777CE3" w:rsidRDefault="00777CE3" w:rsidP="00777CE3">
      <w:pPr>
        <w:pStyle w:val="Heading4"/>
      </w:pPr>
      <w:proofErr w:type="spellStart"/>
      <w:r>
        <w:lastRenderedPageBreak/>
        <w:t>Spatial_Reference_Information</w:t>
      </w:r>
      <w:proofErr w:type="spellEnd"/>
      <w:r>
        <w:t>:</w:t>
      </w:r>
    </w:p>
    <w:p w14:paraId="7B9B2D18" w14:textId="77777777" w:rsidR="00777CE3" w:rsidRDefault="00777CE3" w:rsidP="00777CE3">
      <w:pPr>
        <w:pStyle w:val="NoSpacing"/>
      </w:pPr>
      <w:r>
        <w:t>Projected Coordinate System: NAD_1983_2011_StatePlane_Texas_South_Central_FIPS_4204_FtUS</w:t>
      </w:r>
    </w:p>
    <w:p w14:paraId="0B1DFEE3" w14:textId="77777777" w:rsidR="00777CE3" w:rsidRDefault="00777CE3" w:rsidP="00777CE3">
      <w:pPr>
        <w:pStyle w:val="NoSpacing"/>
      </w:pPr>
      <w:r>
        <w:t xml:space="preserve">Projection: </w:t>
      </w:r>
      <w:proofErr w:type="spellStart"/>
      <w:r>
        <w:t>Lambert_Conformal_Conic</w:t>
      </w:r>
      <w:proofErr w:type="spellEnd"/>
    </w:p>
    <w:p w14:paraId="18C80609" w14:textId="77777777" w:rsidR="00777CE3" w:rsidRDefault="00777CE3" w:rsidP="00777CE3">
      <w:pPr>
        <w:pStyle w:val="NoSpacing"/>
      </w:pPr>
      <w:r>
        <w:t xml:space="preserve">Linear Unit: </w:t>
      </w:r>
      <w:proofErr w:type="spellStart"/>
      <w:r>
        <w:t>Foot_US</w:t>
      </w:r>
      <w:proofErr w:type="spellEnd"/>
    </w:p>
    <w:p w14:paraId="4C9C4A41" w14:textId="77777777" w:rsidR="00777CE3" w:rsidRDefault="00777CE3" w:rsidP="00777CE3">
      <w:pPr>
        <w:pStyle w:val="NoSpacing"/>
      </w:pPr>
      <w:r>
        <w:t>Geographic Coordinate System: GCS_NAD_1983_2011</w:t>
      </w:r>
    </w:p>
    <w:p w14:paraId="22D9884A" w14:textId="77777777" w:rsidR="00777CE3" w:rsidRDefault="00777CE3" w:rsidP="00777CE3">
      <w:pPr>
        <w:pStyle w:val="NoSpacing"/>
      </w:pPr>
      <w:r>
        <w:t>Datum: D_NAD_1983_2011</w:t>
      </w:r>
    </w:p>
    <w:p w14:paraId="0E4E4F36" w14:textId="77777777" w:rsidR="00777CE3" w:rsidRDefault="00777CE3" w:rsidP="00777CE3">
      <w:pPr>
        <w:pStyle w:val="NoSpacing"/>
      </w:pPr>
    </w:p>
    <w:p w14:paraId="06974580" w14:textId="4D62EC0A" w:rsidR="00777CE3" w:rsidRPr="00777CE3" w:rsidRDefault="00FC0137" w:rsidP="00495C30">
      <w:pPr>
        <w:pStyle w:val="Heading3"/>
      </w:pPr>
      <w:r>
        <w:t>How v</w:t>
      </w:r>
      <w:r w:rsidR="000F00A3">
        <w:t>03 and v</w:t>
      </w:r>
      <w:r>
        <w:t>0</w:t>
      </w:r>
      <w:r w:rsidR="00046B7D">
        <w:t>5</w:t>
      </w:r>
      <w:r>
        <w:t xml:space="preserve"> files were created</w:t>
      </w:r>
    </w:p>
    <w:p w14:paraId="000E4AA8" w14:textId="6EE2DB18" w:rsidR="000E5EA0" w:rsidRDefault="006941DD" w:rsidP="006941DD">
      <w:pPr>
        <w:pStyle w:val="NoSpacing"/>
      </w:pPr>
      <w:r>
        <w:t xml:space="preserve">All 21 TIFF files of </w:t>
      </w:r>
      <w:r w:rsidR="000F00A3">
        <w:t xml:space="preserve">v02 </w:t>
      </w:r>
      <w:r w:rsidR="00135854">
        <w:t>and</w:t>
      </w:r>
      <w:r w:rsidR="000F00A3">
        <w:t xml:space="preserve"> </w:t>
      </w:r>
      <w:r>
        <w:t>v0</w:t>
      </w:r>
      <w:r w:rsidR="00046B7D">
        <w:t>4</w:t>
      </w:r>
      <w:r>
        <w:t xml:space="preserve"> were transformed</w:t>
      </w:r>
      <w:r w:rsidR="000E5EA0">
        <w:t xml:space="preserve"> to ESRI GRID format</w:t>
      </w:r>
      <w:r w:rsidR="000F00A3">
        <w:t xml:space="preserve"> (v03 and v05, respectively)</w:t>
      </w:r>
      <w:r w:rsidR="000E5EA0">
        <w:t>.</w:t>
      </w:r>
    </w:p>
    <w:p w14:paraId="3F52BF49" w14:textId="77777777" w:rsidR="000E5EA0" w:rsidRDefault="000E5EA0" w:rsidP="006941DD">
      <w:pPr>
        <w:pStyle w:val="NoSpacing"/>
      </w:pPr>
    </w:p>
    <w:p w14:paraId="64812C75" w14:textId="77777777" w:rsidR="006941DD" w:rsidRDefault="006941DD" w:rsidP="006941DD">
      <w:pPr>
        <w:pStyle w:val="NoSpacing"/>
      </w:pPr>
      <w:r>
        <w:t xml:space="preserve">The </w:t>
      </w:r>
      <w:r w:rsidRPr="006941DD">
        <w:rPr>
          <w:i/>
        </w:rPr>
        <w:t>clr_71.lyr</w:t>
      </w:r>
      <w:r>
        <w:t xml:space="preserve"> layer file has been transformed into a color map file that can be directly applied to the GRID raster. This is to </w:t>
      </w:r>
      <w:r w:rsidR="000E5EA0">
        <w:t xml:space="preserve">automatically display the colors </w:t>
      </w:r>
      <w:r>
        <w:t>once a user add</w:t>
      </w:r>
      <w:r w:rsidR="000E5EA0">
        <w:t>s</w:t>
      </w:r>
      <w:r>
        <w:t xml:space="preserve"> </w:t>
      </w:r>
      <w:r w:rsidR="000E5EA0">
        <w:t>the GRID raster to</w:t>
      </w:r>
      <w:r>
        <w:t xml:space="preserve"> ArcGIS workspace.</w:t>
      </w:r>
    </w:p>
    <w:p w14:paraId="4A938348" w14:textId="77777777" w:rsidR="000E5EA0" w:rsidRDefault="000E5EA0" w:rsidP="006941DD">
      <w:pPr>
        <w:pStyle w:val="NoSpacing"/>
      </w:pPr>
    </w:p>
    <w:p w14:paraId="182047E3" w14:textId="77777777" w:rsidR="006941DD" w:rsidRDefault="006941DD" w:rsidP="006941DD">
      <w:pPr>
        <w:pStyle w:val="NoSpacing"/>
      </w:pPr>
      <w:r>
        <w:t>A new field called ‘LULC’ was also added to the raster’s attribute table to label the values</w:t>
      </w:r>
      <w:r w:rsidR="005E2830">
        <w:t xml:space="preserve"> with the land use classification</w:t>
      </w:r>
      <w:r>
        <w:t>.</w:t>
      </w:r>
    </w:p>
    <w:p w14:paraId="29728411" w14:textId="77777777" w:rsidR="006941DD" w:rsidRDefault="006941DD" w:rsidP="00623BEC">
      <w:pPr>
        <w:pStyle w:val="NoSpacing"/>
      </w:pPr>
    </w:p>
    <w:p w14:paraId="29414749" w14:textId="77777777" w:rsidR="006E1D57" w:rsidRDefault="006E1D57" w:rsidP="00623BEC">
      <w:pPr>
        <w:pStyle w:val="NoSpacing"/>
      </w:pPr>
      <w:r>
        <w:rPr>
          <w:noProof/>
        </w:rPr>
        <w:drawing>
          <wp:inline distT="0" distB="0" distL="0" distR="0" wp14:anchorId="033A7824" wp14:editId="751FA097">
            <wp:extent cx="5943600" cy="2427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427605"/>
                    </a:xfrm>
                    <a:prstGeom prst="rect">
                      <a:avLst/>
                    </a:prstGeom>
                  </pic:spPr>
                </pic:pic>
              </a:graphicData>
            </a:graphic>
          </wp:inline>
        </w:drawing>
      </w:r>
    </w:p>
    <w:p w14:paraId="48587D75" w14:textId="77777777" w:rsidR="005E2830" w:rsidRPr="005E2830" w:rsidRDefault="005E2830" w:rsidP="005E2830">
      <w:pPr>
        <w:pStyle w:val="NoSpacing"/>
        <w:jc w:val="center"/>
      </w:pPr>
      <w:r w:rsidRPr="005E2830">
        <w:t>Screenshot of 2017 GRID raster with attribute table</w:t>
      </w:r>
    </w:p>
    <w:p w14:paraId="5B8CCAFC" w14:textId="77777777" w:rsidR="006E1D57" w:rsidRDefault="006E1D57"/>
    <w:p w14:paraId="435415B7" w14:textId="77777777" w:rsidR="002164F9" w:rsidRDefault="002164F9" w:rsidP="00F74537">
      <w:pPr>
        <w:pStyle w:val="Heading2"/>
      </w:pPr>
      <w:r>
        <w:t>P</w:t>
      </w:r>
      <w:r w:rsidR="00564832">
        <w:t>ublished File(s), Programs and Audit Trail</w:t>
      </w:r>
    </w:p>
    <w:p w14:paraId="0BD1E41A" w14:textId="77777777" w:rsidR="002164F9" w:rsidRDefault="002164F9" w:rsidP="002164F9">
      <w:pPr>
        <w:pStyle w:val="NoSpacing"/>
      </w:pPr>
    </w:p>
    <w:p w14:paraId="0E286C06" w14:textId="1E2A1F0D" w:rsidR="004B14A5" w:rsidRDefault="00FC0137" w:rsidP="002164F9">
      <w:pPr>
        <w:pStyle w:val="NoSpacing"/>
      </w:pPr>
      <w:r>
        <w:t>The following table details the audit trail for the creation of v03</w:t>
      </w:r>
      <w:r w:rsidR="00A81638">
        <w:t xml:space="preserve"> and v05</w:t>
      </w:r>
      <w:r>
        <w:t>. V</w:t>
      </w:r>
      <w:r w:rsidR="004B14A5">
        <w:t xml:space="preserve">alues for </w:t>
      </w:r>
      <w:proofErr w:type="spellStart"/>
      <w:r w:rsidR="004B14A5" w:rsidRPr="004B14A5">
        <w:rPr>
          <w:i/>
        </w:rPr>
        <w:t>yyyy</w:t>
      </w:r>
      <w:proofErr w:type="spellEnd"/>
      <w:r w:rsidR="004B14A5">
        <w:t xml:space="preserve"> range from 1997 to 2017.</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firstRow="1" w:lastRow="0" w:firstColumn="1" w:lastColumn="0" w:noHBand="0" w:noVBand="1"/>
      </w:tblPr>
      <w:tblGrid>
        <w:gridCol w:w="2824"/>
        <w:gridCol w:w="1766"/>
        <w:gridCol w:w="3690"/>
        <w:gridCol w:w="1440"/>
      </w:tblGrid>
      <w:tr w:rsidR="002426E4" w14:paraId="38630414" w14:textId="77777777" w:rsidTr="001627BD">
        <w:tc>
          <w:tcPr>
            <w:tcW w:w="2824" w:type="dxa"/>
            <w:vAlign w:val="bottom"/>
          </w:tcPr>
          <w:p w14:paraId="3FC4ECF5" w14:textId="77777777" w:rsidR="002426E4" w:rsidRPr="009149B2" w:rsidRDefault="002426E4" w:rsidP="002426E4">
            <w:pPr>
              <w:pStyle w:val="NoSpacing"/>
              <w:rPr>
                <w:b/>
              </w:rPr>
            </w:pPr>
            <w:r w:rsidRPr="009149B2">
              <w:rPr>
                <w:b/>
              </w:rPr>
              <w:t>Program</w:t>
            </w:r>
            <w:r w:rsidR="009108D4">
              <w:rPr>
                <w:b/>
              </w:rPr>
              <w:t xml:space="preserve"> Name</w:t>
            </w:r>
          </w:p>
        </w:tc>
        <w:tc>
          <w:tcPr>
            <w:tcW w:w="1766" w:type="dxa"/>
            <w:vAlign w:val="bottom"/>
          </w:tcPr>
          <w:p w14:paraId="00C3577D" w14:textId="77777777" w:rsidR="002426E4" w:rsidRPr="009149B2" w:rsidRDefault="002426E4" w:rsidP="002426E4">
            <w:pPr>
              <w:pStyle w:val="NoSpacing"/>
              <w:rPr>
                <w:b/>
              </w:rPr>
            </w:pPr>
            <w:r w:rsidRPr="009149B2">
              <w:rPr>
                <w:b/>
              </w:rPr>
              <w:t>Input File(s)</w:t>
            </w:r>
          </w:p>
        </w:tc>
        <w:tc>
          <w:tcPr>
            <w:tcW w:w="3690" w:type="dxa"/>
            <w:vAlign w:val="bottom"/>
          </w:tcPr>
          <w:p w14:paraId="60FFF9C6" w14:textId="77777777" w:rsidR="002426E4" w:rsidRPr="009149B2" w:rsidRDefault="002426E4" w:rsidP="009108D4">
            <w:pPr>
              <w:pStyle w:val="NoSpacing"/>
              <w:rPr>
                <w:b/>
              </w:rPr>
            </w:pPr>
            <w:r w:rsidRPr="009149B2">
              <w:rPr>
                <w:b/>
              </w:rPr>
              <w:t xml:space="preserve">Output </w:t>
            </w:r>
            <w:r w:rsidR="009108D4">
              <w:rPr>
                <w:b/>
              </w:rPr>
              <w:t>File(s)</w:t>
            </w:r>
          </w:p>
        </w:tc>
        <w:tc>
          <w:tcPr>
            <w:tcW w:w="1440" w:type="dxa"/>
            <w:vAlign w:val="bottom"/>
          </w:tcPr>
          <w:p w14:paraId="6F0DF8FA" w14:textId="77777777" w:rsidR="002424A0" w:rsidRDefault="002426E4" w:rsidP="002424A0">
            <w:pPr>
              <w:pStyle w:val="NoSpacing"/>
              <w:rPr>
                <w:b/>
              </w:rPr>
            </w:pPr>
            <w:r w:rsidRPr="009149B2">
              <w:rPr>
                <w:b/>
              </w:rPr>
              <w:t>Date/</w:t>
            </w:r>
          </w:p>
          <w:p w14:paraId="571E16F1" w14:textId="06157B3F" w:rsidR="002426E4" w:rsidRPr="009149B2" w:rsidRDefault="002426E4" w:rsidP="002424A0">
            <w:pPr>
              <w:pStyle w:val="NoSpacing"/>
              <w:rPr>
                <w:b/>
              </w:rPr>
            </w:pPr>
            <w:r w:rsidRPr="009149B2">
              <w:rPr>
                <w:b/>
              </w:rPr>
              <w:t>Time Run</w:t>
            </w:r>
          </w:p>
        </w:tc>
      </w:tr>
      <w:tr w:rsidR="00A81638" w14:paraId="68D7E8E0" w14:textId="77777777" w:rsidTr="001627BD">
        <w:tc>
          <w:tcPr>
            <w:tcW w:w="2824" w:type="dxa"/>
          </w:tcPr>
          <w:p w14:paraId="20FE400B" w14:textId="77777777" w:rsidR="00A81638" w:rsidRDefault="00A81638" w:rsidP="00A81638">
            <w:pPr>
              <w:pStyle w:val="NoSpacing"/>
            </w:pPr>
            <w:r>
              <w:t xml:space="preserve">The </w:t>
            </w:r>
          </w:p>
          <w:p w14:paraId="54EBA084" w14:textId="77777777" w:rsidR="00A81638" w:rsidRPr="006E48F3" w:rsidRDefault="00A81638" w:rsidP="00A81638">
            <w:pPr>
              <w:pStyle w:val="NoSpacing"/>
              <w:rPr>
                <w:i/>
              </w:rPr>
            </w:pPr>
            <w:r w:rsidRPr="006E48F3">
              <w:rPr>
                <w:i/>
              </w:rPr>
              <w:t>Add_colormap_to_rasters.py</w:t>
            </w:r>
          </w:p>
          <w:p w14:paraId="4BDE3B59" w14:textId="6E79BC78" w:rsidR="00A81638" w:rsidRPr="009149B2" w:rsidRDefault="00A81638" w:rsidP="00A81638">
            <w:pPr>
              <w:pStyle w:val="NoSpacing"/>
              <w:rPr>
                <w:b/>
              </w:rPr>
            </w:pPr>
            <w:r>
              <w:t xml:space="preserve">Python script was used to convert the TIFF files to ESRI GRID </w:t>
            </w:r>
            <w:proofErr w:type="spellStart"/>
            <w:r>
              <w:t>rasters</w:t>
            </w:r>
            <w:proofErr w:type="spellEnd"/>
            <w:r>
              <w:t xml:space="preserve"> and apply the classification labels to the </w:t>
            </w:r>
            <w:r>
              <w:lastRenderedPageBreak/>
              <w:t>attribute table of each raster.</w:t>
            </w:r>
          </w:p>
        </w:tc>
        <w:tc>
          <w:tcPr>
            <w:tcW w:w="1766" w:type="dxa"/>
          </w:tcPr>
          <w:p w14:paraId="365F55CF" w14:textId="7B540A0F" w:rsidR="00A81638" w:rsidRPr="001627BD" w:rsidRDefault="00A81638" w:rsidP="00A81638">
            <w:pPr>
              <w:pStyle w:val="NoSpacing"/>
              <w:rPr>
                <w:u w:val="single"/>
              </w:rPr>
            </w:pPr>
            <w:r>
              <w:rPr>
                <w:u w:val="single"/>
              </w:rPr>
              <w:lastRenderedPageBreak/>
              <w:t>Version 2 files:</w:t>
            </w:r>
          </w:p>
          <w:p w14:paraId="026BC43D" w14:textId="77777777" w:rsidR="00A81638" w:rsidRDefault="00A81638" w:rsidP="00A81638">
            <w:pPr>
              <w:pStyle w:val="NoSpacing"/>
              <w:rPr>
                <w:i/>
                <w:u w:val="single"/>
              </w:rPr>
            </w:pPr>
          </w:p>
          <w:p w14:paraId="5E6AB553" w14:textId="77777777" w:rsidR="00A81638" w:rsidRDefault="00A81638" w:rsidP="00A81638">
            <w:pPr>
              <w:pStyle w:val="NoSpacing"/>
            </w:pPr>
            <w:proofErr w:type="spellStart"/>
            <w:r w:rsidRPr="006E1D57">
              <w:rPr>
                <w:i/>
                <w:u w:val="single"/>
              </w:rPr>
              <w:t>yyyy</w:t>
            </w:r>
            <w:r>
              <w:t>.tif</w:t>
            </w:r>
            <w:proofErr w:type="spellEnd"/>
          </w:p>
          <w:p w14:paraId="3EBB0D64" w14:textId="77777777" w:rsidR="00A81638" w:rsidRDefault="00A81638" w:rsidP="00A81638">
            <w:pPr>
              <w:pStyle w:val="NoSpacing"/>
            </w:pPr>
          </w:p>
          <w:p w14:paraId="28FD7FCF" w14:textId="77777777" w:rsidR="00A81638" w:rsidRDefault="00A81638" w:rsidP="00A81638">
            <w:pPr>
              <w:pStyle w:val="NoSpacing"/>
            </w:pPr>
            <w:r>
              <w:t>clr_71.lyr</w:t>
            </w:r>
          </w:p>
          <w:p w14:paraId="201CF0CF" w14:textId="77777777" w:rsidR="00A81638" w:rsidRDefault="00A81638" w:rsidP="00A81638">
            <w:pPr>
              <w:pStyle w:val="NoSpacing"/>
            </w:pPr>
          </w:p>
          <w:p w14:paraId="114EE90E" w14:textId="77777777" w:rsidR="00A81638" w:rsidRPr="005E2830" w:rsidRDefault="00A81638" w:rsidP="00A81638">
            <w:pPr>
              <w:pStyle w:val="NoSpacing"/>
            </w:pPr>
            <w:proofErr w:type="spellStart"/>
            <w:r>
              <w:lastRenderedPageBreak/>
              <w:t>LULCclrmap.clr</w:t>
            </w:r>
            <w:proofErr w:type="spellEnd"/>
          </w:p>
          <w:p w14:paraId="27979FB3" w14:textId="77777777" w:rsidR="00A81638" w:rsidRPr="009149B2" w:rsidRDefault="00A81638" w:rsidP="00A81638">
            <w:pPr>
              <w:pStyle w:val="NoSpacing"/>
              <w:rPr>
                <w:b/>
              </w:rPr>
            </w:pPr>
          </w:p>
        </w:tc>
        <w:tc>
          <w:tcPr>
            <w:tcW w:w="3690" w:type="dxa"/>
          </w:tcPr>
          <w:p w14:paraId="6212E09A" w14:textId="6171B1D2" w:rsidR="00A81638" w:rsidRPr="001627BD" w:rsidRDefault="00A81638" w:rsidP="00A81638">
            <w:pPr>
              <w:pStyle w:val="NoSpacing"/>
              <w:rPr>
                <w:u w:val="single"/>
              </w:rPr>
            </w:pPr>
            <w:r w:rsidRPr="001627BD">
              <w:rPr>
                <w:u w:val="single"/>
              </w:rPr>
              <w:lastRenderedPageBreak/>
              <w:t>Version 3 files:</w:t>
            </w:r>
          </w:p>
          <w:p w14:paraId="093F6E28" w14:textId="77777777" w:rsidR="00A81638" w:rsidRDefault="00A81638" w:rsidP="00A81638">
            <w:pPr>
              <w:pStyle w:val="NoSpacing"/>
              <w:rPr>
                <w:i/>
              </w:rPr>
            </w:pPr>
          </w:p>
          <w:p w14:paraId="1B4F65E0" w14:textId="77777777" w:rsidR="00A81638" w:rsidRDefault="00A81638" w:rsidP="00A81638">
            <w:pPr>
              <w:pStyle w:val="NoSpacing"/>
            </w:pPr>
            <w:r w:rsidRPr="006E1D57">
              <w:rPr>
                <w:i/>
              </w:rPr>
              <w:t>yyyy</w:t>
            </w:r>
            <w:r>
              <w:t>.aux.xml</w:t>
            </w:r>
          </w:p>
          <w:p w14:paraId="50040729" w14:textId="77777777" w:rsidR="00A81638" w:rsidRDefault="00A81638" w:rsidP="00A81638">
            <w:pPr>
              <w:pStyle w:val="NoSpacing"/>
            </w:pPr>
            <w:proofErr w:type="spellStart"/>
            <w:r w:rsidRPr="006E1D57">
              <w:rPr>
                <w:i/>
              </w:rPr>
              <w:t>yyyy</w:t>
            </w:r>
            <w:r>
              <w:t>.clr</w:t>
            </w:r>
            <w:proofErr w:type="spellEnd"/>
          </w:p>
          <w:p w14:paraId="45937FFE" w14:textId="77777777" w:rsidR="00A81638" w:rsidRDefault="00A81638" w:rsidP="00A81638">
            <w:pPr>
              <w:pStyle w:val="NoSpacing"/>
            </w:pPr>
            <w:proofErr w:type="spellStart"/>
            <w:r w:rsidRPr="006E1D57">
              <w:rPr>
                <w:i/>
              </w:rPr>
              <w:t>yyyy</w:t>
            </w:r>
            <w:r>
              <w:t>.ovr</w:t>
            </w:r>
            <w:proofErr w:type="spellEnd"/>
          </w:p>
          <w:p w14:paraId="46A213C8" w14:textId="77777777" w:rsidR="00A81638" w:rsidRDefault="00A81638" w:rsidP="00A81638">
            <w:pPr>
              <w:pStyle w:val="NoSpacing"/>
            </w:pPr>
          </w:p>
          <w:p w14:paraId="52DDB7B2" w14:textId="77777777" w:rsidR="00A81638" w:rsidRDefault="00A81638" w:rsidP="00A81638">
            <w:pPr>
              <w:pStyle w:val="NoSpacing"/>
            </w:pPr>
            <w:proofErr w:type="spellStart"/>
            <w:r w:rsidRPr="004B14A5">
              <w:rPr>
                <w:i/>
              </w:rPr>
              <w:lastRenderedPageBreak/>
              <w:t>yyyy</w:t>
            </w:r>
            <w:proofErr w:type="spellEnd"/>
            <w:r>
              <w:t xml:space="preserve"> folders with the following files:</w:t>
            </w:r>
          </w:p>
          <w:p w14:paraId="1EDD11EA" w14:textId="77777777" w:rsidR="00A81638" w:rsidRDefault="00A81638" w:rsidP="00A81638">
            <w:pPr>
              <w:pStyle w:val="NoSpacing"/>
              <w:ind w:left="720"/>
            </w:pPr>
            <w:proofErr w:type="spellStart"/>
            <w:r>
              <w:t>dblbnd.adf</w:t>
            </w:r>
            <w:proofErr w:type="spellEnd"/>
          </w:p>
          <w:p w14:paraId="22050737" w14:textId="77777777" w:rsidR="00A81638" w:rsidRDefault="00A81638" w:rsidP="00A81638">
            <w:pPr>
              <w:pStyle w:val="NoSpacing"/>
              <w:ind w:left="720"/>
            </w:pPr>
            <w:proofErr w:type="spellStart"/>
            <w:r>
              <w:t>hdr.adf</w:t>
            </w:r>
            <w:proofErr w:type="spellEnd"/>
          </w:p>
          <w:p w14:paraId="35F28E37" w14:textId="77777777" w:rsidR="00A81638" w:rsidRDefault="00A81638" w:rsidP="00A81638">
            <w:pPr>
              <w:pStyle w:val="NoSpacing"/>
              <w:ind w:left="720"/>
            </w:pPr>
            <w:r>
              <w:t>metadata.xml</w:t>
            </w:r>
          </w:p>
          <w:p w14:paraId="3546A787" w14:textId="77777777" w:rsidR="00A81638" w:rsidRDefault="00A81638" w:rsidP="00A81638">
            <w:pPr>
              <w:pStyle w:val="NoSpacing"/>
              <w:ind w:left="720"/>
            </w:pPr>
            <w:proofErr w:type="spellStart"/>
            <w:r>
              <w:t>prj.adf</w:t>
            </w:r>
            <w:proofErr w:type="spellEnd"/>
          </w:p>
          <w:p w14:paraId="7295ADD2" w14:textId="77777777" w:rsidR="00A81638" w:rsidRDefault="00A81638" w:rsidP="00A81638">
            <w:pPr>
              <w:pStyle w:val="NoSpacing"/>
              <w:ind w:left="720"/>
            </w:pPr>
            <w:proofErr w:type="spellStart"/>
            <w:r>
              <w:t>sta.adf</w:t>
            </w:r>
            <w:proofErr w:type="spellEnd"/>
          </w:p>
          <w:p w14:paraId="733A51F0" w14:textId="77777777" w:rsidR="00A81638" w:rsidRDefault="00A81638" w:rsidP="00A81638">
            <w:pPr>
              <w:pStyle w:val="NoSpacing"/>
              <w:ind w:left="720"/>
            </w:pPr>
            <w:proofErr w:type="spellStart"/>
            <w:r>
              <w:t>vat.adf</w:t>
            </w:r>
            <w:proofErr w:type="spellEnd"/>
          </w:p>
          <w:p w14:paraId="1F665FBF" w14:textId="77777777" w:rsidR="00A81638" w:rsidRDefault="00A81638" w:rsidP="00A81638">
            <w:pPr>
              <w:pStyle w:val="NoSpacing"/>
              <w:ind w:left="720"/>
            </w:pPr>
            <w:r>
              <w:t>w001001.adf</w:t>
            </w:r>
          </w:p>
          <w:p w14:paraId="3573EA18" w14:textId="77777777" w:rsidR="00A81638" w:rsidRDefault="00A81638" w:rsidP="00A81638">
            <w:pPr>
              <w:pStyle w:val="NoSpacing"/>
              <w:ind w:left="720"/>
            </w:pPr>
            <w:r>
              <w:t>w001001x.adf</w:t>
            </w:r>
          </w:p>
          <w:p w14:paraId="3AE86E0A" w14:textId="77777777" w:rsidR="00A81638" w:rsidRDefault="00A81638" w:rsidP="00A81638">
            <w:pPr>
              <w:pStyle w:val="NoSpacing"/>
            </w:pPr>
          </w:p>
          <w:p w14:paraId="01D24EE0" w14:textId="77777777" w:rsidR="00A81638" w:rsidRDefault="00A81638" w:rsidP="00A81638">
            <w:pPr>
              <w:pStyle w:val="NoSpacing"/>
            </w:pPr>
            <w:r>
              <w:t>An info folder with the following files:</w:t>
            </w:r>
          </w:p>
          <w:p w14:paraId="7C28A7A9" w14:textId="77777777" w:rsidR="00A81638" w:rsidRDefault="00A81638" w:rsidP="00A81638">
            <w:pPr>
              <w:pStyle w:val="NoSpacing"/>
              <w:ind w:left="720"/>
            </w:pPr>
            <w:proofErr w:type="spellStart"/>
            <w:r>
              <w:t>arc.dir</w:t>
            </w:r>
            <w:proofErr w:type="spellEnd"/>
          </w:p>
          <w:p w14:paraId="3EB4F8C1" w14:textId="77777777" w:rsidR="00A81638" w:rsidRDefault="00A81638" w:rsidP="00A81638">
            <w:pPr>
              <w:pStyle w:val="NoSpacing"/>
              <w:ind w:left="720"/>
            </w:pPr>
            <w:r>
              <w:t>arc0000.dat</w:t>
            </w:r>
          </w:p>
          <w:p w14:paraId="3FB7E658" w14:textId="77777777" w:rsidR="00A81638" w:rsidRDefault="00A81638" w:rsidP="00A81638">
            <w:pPr>
              <w:pStyle w:val="NoSpacing"/>
              <w:ind w:left="720"/>
            </w:pPr>
            <w:r>
              <w:t>arc0000.nit</w:t>
            </w:r>
          </w:p>
          <w:p w14:paraId="0D0C9CD5" w14:textId="77777777" w:rsidR="00A81638" w:rsidRDefault="00A81638" w:rsidP="00A81638">
            <w:pPr>
              <w:pStyle w:val="NoSpacing"/>
              <w:ind w:left="720"/>
            </w:pPr>
            <w:r>
              <w:t>arc0001.dat</w:t>
            </w:r>
          </w:p>
          <w:p w14:paraId="37E94935" w14:textId="77777777" w:rsidR="00A81638" w:rsidRDefault="00A81638" w:rsidP="00A81638">
            <w:pPr>
              <w:pStyle w:val="NoSpacing"/>
              <w:ind w:left="720"/>
            </w:pPr>
            <w:r>
              <w:t>arc0001.nit</w:t>
            </w:r>
          </w:p>
          <w:p w14:paraId="0BAA4814" w14:textId="77777777" w:rsidR="00A81638" w:rsidRDefault="00A81638" w:rsidP="00A81638">
            <w:pPr>
              <w:pStyle w:val="NoSpacing"/>
              <w:ind w:left="720"/>
            </w:pPr>
            <w:r>
              <w:t>…</w:t>
            </w:r>
          </w:p>
          <w:p w14:paraId="1E9BE83B" w14:textId="77777777" w:rsidR="00A81638" w:rsidRDefault="00A81638" w:rsidP="00A81638">
            <w:pPr>
              <w:pStyle w:val="NoSpacing"/>
              <w:ind w:left="720"/>
            </w:pPr>
            <w:r>
              <w:t>arc0062.dat</w:t>
            </w:r>
          </w:p>
          <w:p w14:paraId="5E28E56A" w14:textId="77777777" w:rsidR="00A81638" w:rsidRDefault="00A81638" w:rsidP="00A81638">
            <w:pPr>
              <w:pStyle w:val="NoSpacing"/>
              <w:ind w:left="720"/>
            </w:pPr>
            <w:r>
              <w:t>arc0062.nit</w:t>
            </w:r>
          </w:p>
          <w:p w14:paraId="7ED64BBF" w14:textId="77777777" w:rsidR="00A81638" w:rsidRPr="009149B2" w:rsidRDefault="00A81638" w:rsidP="00A81638">
            <w:pPr>
              <w:pStyle w:val="NoSpacing"/>
              <w:rPr>
                <w:b/>
              </w:rPr>
            </w:pPr>
          </w:p>
        </w:tc>
        <w:tc>
          <w:tcPr>
            <w:tcW w:w="1440" w:type="dxa"/>
          </w:tcPr>
          <w:p w14:paraId="7E24E7A7" w14:textId="23AFF3C3" w:rsidR="00A81638" w:rsidRPr="009149B2" w:rsidRDefault="002424A0" w:rsidP="00A81638">
            <w:pPr>
              <w:pStyle w:val="NoSpacing"/>
              <w:rPr>
                <w:b/>
              </w:rPr>
            </w:pPr>
            <w:r>
              <w:lastRenderedPageBreak/>
              <w:t>0</w:t>
            </w:r>
            <w:r w:rsidR="00A81638">
              <w:t>3/</w:t>
            </w:r>
            <w:r>
              <w:t>0</w:t>
            </w:r>
            <w:r w:rsidR="00A81638">
              <w:t>1/2018 4:50pm</w:t>
            </w:r>
          </w:p>
        </w:tc>
      </w:tr>
      <w:tr w:rsidR="00A81638" w14:paraId="5D4DE9E1" w14:textId="77777777" w:rsidTr="001627BD">
        <w:tc>
          <w:tcPr>
            <w:tcW w:w="2824" w:type="dxa"/>
          </w:tcPr>
          <w:p w14:paraId="37AB8E4C" w14:textId="77777777" w:rsidR="00A81638" w:rsidRDefault="00A81638" w:rsidP="00A81638">
            <w:pPr>
              <w:pStyle w:val="NoSpacing"/>
            </w:pPr>
            <w:r>
              <w:t xml:space="preserve">The </w:t>
            </w:r>
          </w:p>
          <w:p w14:paraId="4B7EC5A9" w14:textId="77777777" w:rsidR="00A81638" w:rsidRPr="006E48F3" w:rsidRDefault="00A81638" w:rsidP="00A81638">
            <w:pPr>
              <w:pStyle w:val="NoSpacing"/>
              <w:rPr>
                <w:i/>
              </w:rPr>
            </w:pPr>
            <w:r w:rsidRPr="006E48F3">
              <w:rPr>
                <w:i/>
              </w:rPr>
              <w:t>Add_colormap_to_rasters.py</w:t>
            </w:r>
          </w:p>
          <w:p w14:paraId="5971CC3E" w14:textId="223FE02A" w:rsidR="00A81638" w:rsidRPr="009149B2" w:rsidRDefault="00A81638" w:rsidP="00A81638">
            <w:pPr>
              <w:pStyle w:val="NoSpacing"/>
            </w:pPr>
            <w:r>
              <w:t xml:space="preserve">Python script was used to convert the TIFF files to ESRI GRID </w:t>
            </w:r>
            <w:proofErr w:type="spellStart"/>
            <w:r>
              <w:t>rasters</w:t>
            </w:r>
            <w:proofErr w:type="spellEnd"/>
            <w:r>
              <w:t xml:space="preserve"> and apply the classification labels to the attribute table of each raster.</w:t>
            </w:r>
          </w:p>
        </w:tc>
        <w:tc>
          <w:tcPr>
            <w:tcW w:w="1766" w:type="dxa"/>
          </w:tcPr>
          <w:p w14:paraId="61BFB574" w14:textId="4A5A1E34" w:rsidR="00A81638" w:rsidRPr="001627BD" w:rsidRDefault="00A81638" w:rsidP="00A81638">
            <w:pPr>
              <w:pStyle w:val="NoSpacing"/>
              <w:rPr>
                <w:u w:val="single"/>
              </w:rPr>
            </w:pPr>
            <w:r w:rsidRPr="001627BD">
              <w:rPr>
                <w:u w:val="single"/>
              </w:rPr>
              <w:t>Version 4 files:</w:t>
            </w:r>
          </w:p>
          <w:p w14:paraId="12A12020" w14:textId="77777777" w:rsidR="00A81638" w:rsidRDefault="00A81638" w:rsidP="00A81638">
            <w:pPr>
              <w:pStyle w:val="NoSpacing"/>
              <w:rPr>
                <w:i/>
                <w:u w:val="single"/>
              </w:rPr>
            </w:pPr>
          </w:p>
          <w:p w14:paraId="7DB55D48" w14:textId="77777777" w:rsidR="00A81638" w:rsidRDefault="00A81638" w:rsidP="00A81638">
            <w:pPr>
              <w:pStyle w:val="NoSpacing"/>
            </w:pPr>
            <w:proofErr w:type="spellStart"/>
            <w:r w:rsidRPr="006E1D57">
              <w:rPr>
                <w:i/>
                <w:u w:val="single"/>
              </w:rPr>
              <w:t>yyyy</w:t>
            </w:r>
            <w:r>
              <w:t>.tif</w:t>
            </w:r>
            <w:proofErr w:type="spellEnd"/>
          </w:p>
          <w:p w14:paraId="31C88F8A" w14:textId="77777777" w:rsidR="00A81638" w:rsidRDefault="00A81638" w:rsidP="00A81638">
            <w:pPr>
              <w:pStyle w:val="NoSpacing"/>
            </w:pPr>
          </w:p>
          <w:p w14:paraId="763768B0" w14:textId="77777777" w:rsidR="00A81638" w:rsidRDefault="00A81638" w:rsidP="00A81638">
            <w:pPr>
              <w:pStyle w:val="NoSpacing"/>
            </w:pPr>
            <w:r>
              <w:t>clr_71.lyr</w:t>
            </w:r>
          </w:p>
          <w:p w14:paraId="46B813AF" w14:textId="77777777" w:rsidR="00A81638" w:rsidRDefault="00A81638" w:rsidP="00A81638">
            <w:pPr>
              <w:pStyle w:val="NoSpacing"/>
            </w:pPr>
          </w:p>
          <w:p w14:paraId="1ED80235" w14:textId="77777777" w:rsidR="00A81638" w:rsidRPr="005E2830" w:rsidRDefault="00A81638" w:rsidP="00A81638">
            <w:pPr>
              <w:pStyle w:val="NoSpacing"/>
            </w:pPr>
            <w:proofErr w:type="spellStart"/>
            <w:r>
              <w:t>LULCclrmap.clr</w:t>
            </w:r>
            <w:proofErr w:type="spellEnd"/>
          </w:p>
          <w:p w14:paraId="5FD978BA" w14:textId="77777777" w:rsidR="00A81638" w:rsidRPr="009149B2" w:rsidRDefault="00A81638" w:rsidP="00A81638">
            <w:pPr>
              <w:pStyle w:val="NoSpacing"/>
            </w:pPr>
          </w:p>
        </w:tc>
        <w:tc>
          <w:tcPr>
            <w:tcW w:w="3690" w:type="dxa"/>
          </w:tcPr>
          <w:p w14:paraId="7E457BAA" w14:textId="651664BF" w:rsidR="00A81638" w:rsidRPr="001627BD" w:rsidRDefault="00A81638" w:rsidP="00A81638">
            <w:pPr>
              <w:pStyle w:val="NoSpacing"/>
              <w:rPr>
                <w:u w:val="single"/>
              </w:rPr>
            </w:pPr>
            <w:r>
              <w:rPr>
                <w:u w:val="single"/>
              </w:rPr>
              <w:t>Version 5 files:</w:t>
            </w:r>
          </w:p>
          <w:p w14:paraId="4AA6339A" w14:textId="77777777" w:rsidR="00A81638" w:rsidRDefault="00A81638" w:rsidP="00A81638">
            <w:pPr>
              <w:pStyle w:val="NoSpacing"/>
              <w:rPr>
                <w:i/>
              </w:rPr>
            </w:pPr>
          </w:p>
          <w:p w14:paraId="34F970BB" w14:textId="77777777" w:rsidR="00A81638" w:rsidRDefault="00A81638" w:rsidP="00A81638">
            <w:pPr>
              <w:pStyle w:val="NoSpacing"/>
            </w:pPr>
            <w:r w:rsidRPr="006E1D57">
              <w:rPr>
                <w:i/>
              </w:rPr>
              <w:t>yyyy</w:t>
            </w:r>
            <w:r>
              <w:t>.aux.xml</w:t>
            </w:r>
          </w:p>
          <w:p w14:paraId="606684C2" w14:textId="77777777" w:rsidR="00A81638" w:rsidRDefault="00A81638" w:rsidP="00A81638">
            <w:pPr>
              <w:pStyle w:val="NoSpacing"/>
            </w:pPr>
            <w:proofErr w:type="spellStart"/>
            <w:r w:rsidRPr="006E1D57">
              <w:rPr>
                <w:i/>
              </w:rPr>
              <w:t>yyyy</w:t>
            </w:r>
            <w:r>
              <w:t>.clr</w:t>
            </w:r>
            <w:proofErr w:type="spellEnd"/>
          </w:p>
          <w:p w14:paraId="57FFE39C" w14:textId="77777777" w:rsidR="00A81638" w:rsidRDefault="00A81638" w:rsidP="00A81638">
            <w:pPr>
              <w:pStyle w:val="NoSpacing"/>
            </w:pPr>
            <w:proofErr w:type="spellStart"/>
            <w:r w:rsidRPr="006E1D57">
              <w:rPr>
                <w:i/>
              </w:rPr>
              <w:t>yyyy</w:t>
            </w:r>
            <w:r>
              <w:t>.ovr</w:t>
            </w:r>
            <w:proofErr w:type="spellEnd"/>
          </w:p>
          <w:p w14:paraId="0ECBCF69" w14:textId="77777777" w:rsidR="00A81638" w:rsidRDefault="00A81638" w:rsidP="00A81638">
            <w:pPr>
              <w:pStyle w:val="NoSpacing"/>
            </w:pPr>
          </w:p>
          <w:p w14:paraId="3BE0ACA9" w14:textId="77777777" w:rsidR="00A81638" w:rsidRDefault="00A81638" w:rsidP="00A81638">
            <w:pPr>
              <w:pStyle w:val="NoSpacing"/>
            </w:pPr>
            <w:proofErr w:type="spellStart"/>
            <w:r w:rsidRPr="004B14A5">
              <w:rPr>
                <w:i/>
              </w:rPr>
              <w:t>yyyy</w:t>
            </w:r>
            <w:proofErr w:type="spellEnd"/>
            <w:r>
              <w:t xml:space="preserve"> folders with the following files:</w:t>
            </w:r>
          </w:p>
          <w:p w14:paraId="354CAE1B" w14:textId="77777777" w:rsidR="00A81638" w:rsidRDefault="00A81638" w:rsidP="00A81638">
            <w:pPr>
              <w:pStyle w:val="NoSpacing"/>
              <w:ind w:left="720"/>
            </w:pPr>
            <w:proofErr w:type="spellStart"/>
            <w:r>
              <w:t>dblbnd.adf</w:t>
            </w:r>
            <w:proofErr w:type="spellEnd"/>
          </w:p>
          <w:p w14:paraId="59C00C10" w14:textId="77777777" w:rsidR="00A81638" w:rsidRDefault="00A81638" w:rsidP="00A81638">
            <w:pPr>
              <w:pStyle w:val="NoSpacing"/>
              <w:ind w:left="720"/>
            </w:pPr>
            <w:proofErr w:type="spellStart"/>
            <w:r>
              <w:t>hdr.adf</w:t>
            </w:r>
            <w:proofErr w:type="spellEnd"/>
          </w:p>
          <w:p w14:paraId="379B9BE1" w14:textId="77777777" w:rsidR="00A81638" w:rsidRDefault="00A81638" w:rsidP="00A81638">
            <w:pPr>
              <w:pStyle w:val="NoSpacing"/>
              <w:ind w:left="720"/>
            </w:pPr>
            <w:r>
              <w:t>metadata.xml</w:t>
            </w:r>
          </w:p>
          <w:p w14:paraId="67B7C6F3" w14:textId="77777777" w:rsidR="00A81638" w:rsidRDefault="00A81638" w:rsidP="00A81638">
            <w:pPr>
              <w:pStyle w:val="NoSpacing"/>
              <w:ind w:left="720"/>
            </w:pPr>
            <w:proofErr w:type="spellStart"/>
            <w:r>
              <w:t>prj.adf</w:t>
            </w:r>
            <w:proofErr w:type="spellEnd"/>
          </w:p>
          <w:p w14:paraId="10584BAC" w14:textId="77777777" w:rsidR="00A81638" w:rsidRDefault="00A81638" w:rsidP="00A81638">
            <w:pPr>
              <w:pStyle w:val="NoSpacing"/>
              <w:ind w:left="720"/>
            </w:pPr>
            <w:proofErr w:type="spellStart"/>
            <w:r>
              <w:t>sta.adf</w:t>
            </w:r>
            <w:proofErr w:type="spellEnd"/>
          </w:p>
          <w:p w14:paraId="265BAE79" w14:textId="77777777" w:rsidR="00A81638" w:rsidRDefault="00A81638" w:rsidP="00A81638">
            <w:pPr>
              <w:pStyle w:val="NoSpacing"/>
              <w:ind w:left="720"/>
            </w:pPr>
            <w:proofErr w:type="spellStart"/>
            <w:r>
              <w:t>vat.adf</w:t>
            </w:r>
            <w:proofErr w:type="spellEnd"/>
          </w:p>
          <w:p w14:paraId="26411926" w14:textId="77777777" w:rsidR="00A81638" w:rsidRDefault="00A81638" w:rsidP="00A81638">
            <w:pPr>
              <w:pStyle w:val="NoSpacing"/>
              <w:ind w:left="720"/>
            </w:pPr>
            <w:r>
              <w:t>w001001.adf</w:t>
            </w:r>
          </w:p>
          <w:p w14:paraId="2A6E7B55" w14:textId="77777777" w:rsidR="00A81638" w:rsidRDefault="00A81638" w:rsidP="00A81638">
            <w:pPr>
              <w:pStyle w:val="NoSpacing"/>
              <w:ind w:left="720"/>
            </w:pPr>
            <w:r>
              <w:t>w001001x.adf</w:t>
            </w:r>
          </w:p>
          <w:p w14:paraId="6B7E2C04" w14:textId="77777777" w:rsidR="00A81638" w:rsidRDefault="00A81638" w:rsidP="00A81638">
            <w:pPr>
              <w:pStyle w:val="NoSpacing"/>
            </w:pPr>
          </w:p>
          <w:p w14:paraId="626B81DF" w14:textId="77777777" w:rsidR="00A81638" w:rsidRDefault="00A81638" w:rsidP="00A81638">
            <w:pPr>
              <w:pStyle w:val="NoSpacing"/>
            </w:pPr>
            <w:r>
              <w:t>An info folder with the following files:</w:t>
            </w:r>
          </w:p>
          <w:p w14:paraId="516241EB" w14:textId="77777777" w:rsidR="00A81638" w:rsidRDefault="00A81638" w:rsidP="00A81638">
            <w:pPr>
              <w:pStyle w:val="NoSpacing"/>
              <w:ind w:left="720"/>
            </w:pPr>
            <w:proofErr w:type="spellStart"/>
            <w:r>
              <w:t>arc.dir</w:t>
            </w:r>
            <w:proofErr w:type="spellEnd"/>
          </w:p>
          <w:p w14:paraId="4187C284" w14:textId="77777777" w:rsidR="00A81638" w:rsidRDefault="00A81638" w:rsidP="00A81638">
            <w:pPr>
              <w:pStyle w:val="NoSpacing"/>
              <w:ind w:left="720"/>
            </w:pPr>
            <w:r>
              <w:t>arc0000.dat</w:t>
            </w:r>
          </w:p>
          <w:p w14:paraId="103E1C3F" w14:textId="77777777" w:rsidR="00A81638" w:rsidRDefault="00A81638" w:rsidP="00A81638">
            <w:pPr>
              <w:pStyle w:val="NoSpacing"/>
              <w:ind w:left="720"/>
            </w:pPr>
            <w:r>
              <w:t>arc0000.nit</w:t>
            </w:r>
          </w:p>
          <w:p w14:paraId="39CE4BA5" w14:textId="77777777" w:rsidR="00A81638" w:rsidRDefault="00A81638" w:rsidP="00A81638">
            <w:pPr>
              <w:pStyle w:val="NoSpacing"/>
              <w:ind w:left="720"/>
            </w:pPr>
            <w:r>
              <w:t>arc0001.dat</w:t>
            </w:r>
          </w:p>
          <w:p w14:paraId="3A38B99B" w14:textId="77777777" w:rsidR="00A81638" w:rsidRDefault="00A81638" w:rsidP="00A81638">
            <w:pPr>
              <w:pStyle w:val="NoSpacing"/>
              <w:ind w:left="720"/>
            </w:pPr>
            <w:r>
              <w:t>arc0001.nit</w:t>
            </w:r>
          </w:p>
          <w:p w14:paraId="2D353FC8" w14:textId="77777777" w:rsidR="00A81638" w:rsidRDefault="00A81638" w:rsidP="00A81638">
            <w:pPr>
              <w:pStyle w:val="NoSpacing"/>
              <w:ind w:left="720"/>
            </w:pPr>
            <w:r>
              <w:t>…</w:t>
            </w:r>
          </w:p>
          <w:p w14:paraId="6EDCB8A4" w14:textId="77777777" w:rsidR="00A81638" w:rsidRDefault="00A81638" w:rsidP="00A81638">
            <w:pPr>
              <w:pStyle w:val="NoSpacing"/>
              <w:ind w:left="720"/>
            </w:pPr>
            <w:r>
              <w:t>arc0062.dat</w:t>
            </w:r>
          </w:p>
          <w:p w14:paraId="24A45561" w14:textId="77777777" w:rsidR="00A81638" w:rsidRDefault="00A81638" w:rsidP="00A81638">
            <w:pPr>
              <w:pStyle w:val="NoSpacing"/>
              <w:ind w:left="720"/>
            </w:pPr>
            <w:r>
              <w:t>arc0062.nit</w:t>
            </w:r>
          </w:p>
          <w:p w14:paraId="4F6C2FFF" w14:textId="77777777" w:rsidR="00A81638" w:rsidRPr="009149B2" w:rsidRDefault="00A81638" w:rsidP="00A81638">
            <w:pPr>
              <w:pStyle w:val="NoSpacing"/>
            </w:pPr>
          </w:p>
        </w:tc>
        <w:tc>
          <w:tcPr>
            <w:tcW w:w="1440" w:type="dxa"/>
          </w:tcPr>
          <w:p w14:paraId="047A279A" w14:textId="53E584E6" w:rsidR="00A81638" w:rsidRPr="009149B2" w:rsidRDefault="00A81638" w:rsidP="00A81638">
            <w:pPr>
              <w:pStyle w:val="NoSpacing"/>
            </w:pPr>
            <w:r>
              <w:t xml:space="preserve">10/16/2018 </w:t>
            </w:r>
            <w:r w:rsidRPr="00046B7D">
              <w:rPr>
                <w:rFonts w:hint="cs"/>
              </w:rPr>
              <w:t>‏‎</w:t>
            </w:r>
            <w:r>
              <w:t>10:34</w:t>
            </w:r>
            <w:r w:rsidRPr="00046B7D">
              <w:t xml:space="preserve"> AM</w:t>
            </w:r>
          </w:p>
        </w:tc>
      </w:tr>
    </w:tbl>
    <w:p w14:paraId="111239A7" w14:textId="77777777" w:rsidR="002164F9" w:rsidRDefault="002164F9" w:rsidP="002164F9">
      <w:pPr>
        <w:pStyle w:val="NoSpacing"/>
      </w:pPr>
    </w:p>
    <w:sectPr w:rsidR="002164F9" w:rsidSect="009B0B1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05119" w14:textId="77777777" w:rsidR="00D5378A" w:rsidRDefault="00D5378A" w:rsidP="0013213D">
      <w:pPr>
        <w:spacing w:after="0" w:line="240" w:lineRule="auto"/>
      </w:pPr>
      <w:r>
        <w:separator/>
      </w:r>
    </w:p>
  </w:endnote>
  <w:endnote w:type="continuationSeparator" w:id="0">
    <w:p w14:paraId="1027DD70" w14:textId="77777777" w:rsidR="00D5378A" w:rsidRDefault="00D5378A" w:rsidP="0013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C0619" w14:textId="272854E8" w:rsidR="0013213D" w:rsidRPr="0013213D" w:rsidRDefault="007C2DAA">
    <w:pPr>
      <w:pStyle w:val="Footer"/>
      <w:rPr>
        <w:sz w:val="20"/>
        <w:szCs w:val="20"/>
      </w:rPr>
    </w:pPr>
    <w:r w:rsidRPr="006174C0">
      <w:rPr>
        <w:i/>
        <w:sz w:val="20"/>
        <w:szCs w:val="20"/>
      </w:rPr>
      <w:t>LCLUC_TechRpt.docx</w:t>
    </w:r>
    <w:r w:rsidRPr="007C2DAA">
      <w:rPr>
        <w:sz w:val="20"/>
        <w:szCs w:val="20"/>
      </w:rPr>
      <w:ptab w:relativeTo="margin" w:alignment="center" w:leader="none"/>
    </w:r>
    <w:r>
      <w:rPr>
        <w:sz w:val="20"/>
        <w:szCs w:val="20"/>
      </w:rPr>
      <w:fldChar w:fldCharType="begin"/>
    </w:r>
    <w:r>
      <w:rPr>
        <w:sz w:val="20"/>
        <w:szCs w:val="20"/>
      </w:rPr>
      <w:instrText xml:space="preserve"> PAGE   \* MERGEFORMAT </w:instrText>
    </w:r>
    <w:r>
      <w:rPr>
        <w:sz w:val="20"/>
        <w:szCs w:val="20"/>
      </w:rPr>
      <w:fldChar w:fldCharType="separate"/>
    </w:r>
    <w:r w:rsidR="001627BD">
      <w:rPr>
        <w:noProof/>
        <w:sz w:val="20"/>
        <w:szCs w:val="20"/>
      </w:rPr>
      <w:t>2</w:t>
    </w:r>
    <w:r>
      <w:rPr>
        <w:sz w:val="20"/>
        <w:szCs w:val="20"/>
      </w:rPr>
      <w:fldChar w:fldCharType="end"/>
    </w:r>
    <w:r w:rsidRPr="007C2DAA">
      <w:rPr>
        <w:sz w:val="20"/>
        <w:szCs w:val="20"/>
      </w:rPr>
      <w:ptab w:relativeTo="margin" w:alignment="right" w:leader="none"/>
    </w:r>
    <w:r w:rsidR="006174C0" w:rsidRPr="006174C0">
      <w:rPr>
        <w:i/>
        <w:sz w:val="20"/>
        <w:szCs w:val="20"/>
      </w:rPr>
      <w:t>re</w:t>
    </w:r>
    <w:r w:rsidRPr="006174C0">
      <w:rPr>
        <w:i/>
        <w:sz w:val="20"/>
        <w:szCs w:val="20"/>
      </w:rPr>
      <w:t>v</w:t>
    </w:r>
    <w:r w:rsidR="006174C0" w:rsidRPr="006174C0">
      <w:rPr>
        <w:i/>
        <w:sz w:val="20"/>
        <w:szCs w:val="20"/>
      </w:rPr>
      <w:t xml:space="preserve">. </w:t>
    </w:r>
    <w:r w:rsidRPr="006174C0">
      <w:rPr>
        <w:i/>
        <w:sz w:val="20"/>
        <w:szCs w:val="20"/>
      </w:rPr>
      <w:t>2018-</w:t>
    </w:r>
    <w:r w:rsidR="008052AF">
      <w:rPr>
        <w:i/>
        <w:sz w:val="20"/>
        <w:szCs w:val="20"/>
      </w:rPr>
      <w:t>October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54B29" w14:textId="77777777" w:rsidR="00D5378A" w:rsidRDefault="00D5378A" w:rsidP="0013213D">
      <w:pPr>
        <w:spacing w:after="0" w:line="240" w:lineRule="auto"/>
      </w:pPr>
      <w:r>
        <w:separator/>
      </w:r>
    </w:p>
  </w:footnote>
  <w:footnote w:type="continuationSeparator" w:id="0">
    <w:p w14:paraId="4AF8BC3C" w14:textId="77777777" w:rsidR="00D5378A" w:rsidRDefault="00D5378A" w:rsidP="00132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45CF"/>
    <w:multiLevelType w:val="hybridMultilevel"/>
    <w:tmpl w:val="B38C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65402"/>
    <w:multiLevelType w:val="hybridMultilevel"/>
    <w:tmpl w:val="3B3A8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72799"/>
    <w:multiLevelType w:val="hybridMultilevel"/>
    <w:tmpl w:val="59686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64E25"/>
    <w:multiLevelType w:val="hybridMultilevel"/>
    <w:tmpl w:val="2B8E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51C76"/>
    <w:multiLevelType w:val="hybridMultilevel"/>
    <w:tmpl w:val="FF64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A675E"/>
    <w:multiLevelType w:val="hybridMultilevel"/>
    <w:tmpl w:val="960A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56F00"/>
    <w:multiLevelType w:val="hybridMultilevel"/>
    <w:tmpl w:val="4EBA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93E0C"/>
    <w:multiLevelType w:val="hybridMultilevel"/>
    <w:tmpl w:val="1FE0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102CA"/>
    <w:multiLevelType w:val="hybridMultilevel"/>
    <w:tmpl w:val="39EEEB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72295F3D"/>
    <w:multiLevelType w:val="hybridMultilevel"/>
    <w:tmpl w:val="C77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3"/>
  </w:num>
  <w:num w:numId="6">
    <w:abstractNumId w:val="6"/>
  </w:num>
  <w:num w:numId="7">
    <w:abstractNumId w:val="4"/>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04"/>
    <w:rsid w:val="00031A0D"/>
    <w:rsid w:val="00046B7D"/>
    <w:rsid w:val="00062A78"/>
    <w:rsid w:val="00091BDB"/>
    <w:rsid w:val="000E5EA0"/>
    <w:rsid w:val="000E7E11"/>
    <w:rsid w:val="000F00A3"/>
    <w:rsid w:val="001042CC"/>
    <w:rsid w:val="0013213D"/>
    <w:rsid w:val="00135854"/>
    <w:rsid w:val="001502A2"/>
    <w:rsid w:val="00150DB1"/>
    <w:rsid w:val="001627BD"/>
    <w:rsid w:val="00172869"/>
    <w:rsid w:val="001728E7"/>
    <w:rsid w:val="001D4327"/>
    <w:rsid w:val="001F6A2A"/>
    <w:rsid w:val="002061AF"/>
    <w:rsid w:val="002164F9"/>
    <w:rsid w:val="0023267D"/>
    <w:rsid w:val="002424A0"/>
    <w:rsid w:val="002426E4"/>
    <w:rsid w:val="002608A8"/>
    <w:rsid w:val="00264635"/>
    <w:rsid w:val="0028558B"/>
    <w:rsid w:val="00313F63"/>
    <w:rsid w:val="00365ADD"/>
    <w:rsid w:val="003B1D71"/>
    <w:rsid w:val="003B20B0"/>
    <w:rsid w:val="00405837"/>
    <w:rsid w:val="00425EDA"/>
    <w:rsid w:val="00426562"/>
    <w:rsid w:val="004317BD"/>
    <w:rsid w:val="00450E36"/>
    <w:rsid w:val="00472A54"/>
    <w:rsid w:val="00495C30"/>
    <w:rsid w:val="004A1C51"/>
    <w:rsid w:val="004B14A5"/>
    <w:rsid w:val="004E4DB4"/>
    <w:rsid w:val="005450E7"/>
    <w:rsid w:val="00564832"/>
    <w:rsid w:val="005B232B"/>
    <w:rsid w:val="005E2830"/>
    <w:rsid w:val="006174C0"/>
    <w:rsid w:val="00623BEC"/>
    <w:rsid w:val="006605AB"/>
    <w:rsid w:val="006660DE"/>
    <w:rsid w:val="006941DD"/>
    <w:rsid w:val="006E1D57"/>
    <w:rsid w:val="006E2B73"/>
    <w:rsid w:val="006E48F3"/>
    <w:rsid w:val="00704AD2"/>
    <w:rsid w:val="00735F79"/>
    <w:rsid w:val="00777CE3"/>
    <w:rsid w:val="007B0826"/>
    <w:rsid w:val="007C2DAA"/>
    <w:rsid w:val="007F1BC1"/>
    <w:rsid w:val="008052AF"/>
    <w:rsid w:val="00824324"/>
    <w:rsid w:val="00861C21"/>
    <w:rsid w:val="0088334D"/>
    <w:rsid w:val="008C638B"/>
    <w:rsid w:val="008D0AD1"/>
    <w:rsid w:val="009108D4"/>
    <w:rsid w:val="00916FAD"/>
    <w:rsid w:val="009741E0"/>
    <w:rsid w:val="009928FA"/>
    <w:rsid w:val="009B0B1F"/>
    <w:rsid w:val="009E0DDC"/>
    <w:rsid w:val="009F4A51"/>
    <w:rsid w:val="00A06F6A"/>
    <w:rsid w:val="00A543B5"/>
    <w:rsid w:val="00A63977"/>
    <w:rsid w:val="00A7613C"/>
    <w:rsid w:val="00A81638"/>
    <w:rsid w:val="00A906F3"/>
    <w:rsid w:val="00AC4104"/>
    <w:rsid w:val="00B70F5D"/>
    <w:rsid w:val="00B97BD1"/>
    <w:rsid w:val="00BA45B9"/>
    <w:rsid w:val="00C05840"/>
    <w:rsid w:val="00C41A86"/>
    <w:rsid w:val="00C63345"/>
    <w:rsid w:val="00C72746"/>
    <w:rsid w:val="00CA026F"/>
    <w:rsid w:val="00CB31DE"/>
    <w:rsid w:val="00CB6C07"/>
    <w:rsid w:val="00CC3C9C"/>
    <w:rsid w:val="00CF589E"/>
    <w:rsid w:val="00D13CC8"/>
    <w:rsid w:val="00D5378A"/>
    <w:rsid w:val="00D60A86"/>
    <w:rsid w:val="00D73DF0"/>
    <w:rsid w:val="00DC2CCF"/>
    <w:rsid w:val="00E202B1"/>
    <w:rsid w:val="00E44CDB"/>
    <w:rsid w:val="00F648ED"/>
    <w:rsid w:val="00F74537"/>
    <w:rsid w:val="00F74967"/>
    <w:rsid w:val="00F8698A"/>
    <w:rsid w:val="00FC0137"/>
    <w:rsid w:val="00FD04A6"/>
    <w:rsid w:val="00FF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DFD413"/>
  <w15:docId w15:val="{BC1E16D8-79E0-495D-8BBD-54EE7666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1F"/>
  </w:style>
  <w:style w:type="paragraph" w:styleId="Heading1">
    <w:name w:val="heading 1"/>
    <w:basedOn w:val="Normal"/>
    <w:next w:val="Normal"/>
    <w:link w:val="Heading1Char"/>
    <w:uiPriority w:val="9"/>
    <w:qFormat/>
    <w:rsid w:val="00D60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4537"/>
    <w:pPr>
      <w:keepNext/>
      <w:keepLines/>
      <w:spacing w:before="12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4832"/>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777CE3"/>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C4104"/>
    <w:pPr>
      <w:spacing w:after="0" w:line="240" w:lineRule="auto"/>
    </w:pPr>
  </w:style>
  <w:style w:type="character" w:customStyle="1" w:styleId="Heading1Char">
    <w:name w:val="Heading 1 Char"/>
    <w:basedOn w:val="DefaultParagraphFont"/>
    <w:link w:val="Heading1"/>
    <w:uiPriority w:val="9"/>
    <w:rsid w:val="00D60A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453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543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2426E4"/>
  </w:style>
  <w:style w:type="character" w:customStyle="1" w:styleId="Heading3Char">
    <w:name w:val="Heading 3 Char"/>
    <w:basedOn w:val="DefaultParagraphFont"/>
    <w:link w:val="Heading3"/>
    <w:uiPriority w:val="9"/>
    <w:rsid w:val="00564832"/>
    <w:rPr>
      <w:rFonts w:asciiTheme="majorHAnsi" w:eastAsiaTheme="majorEastAsia" w:hAnsiTheme="majorHAnsi" w:cstheme="majorBidi"/>
      <w:b/>
      <w:sz w:val="24"/>
      <w:szCs w:val="24"/>
    </w:rPr>
  </w:style>
  <w:style w:type="paragraph" w:styleId="Header">
    <w:name w:val="header"/>
    <w:basedOn w:val="Normal"/>
    <w:link w:val="HeaderChar"/>
    <w:uiPriority w:val="99"/>
    <w:unhideWhenUsed/>
    <w:rsid w:val="00132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13D"/>
  </w:style>
  <w:style w:type="paragraph" w:styleId="Footer">
    <w:name w:val="footer"/>
    <w:basedOn w:val="Normal"/>
    <w:link w:val="FooterChar"/>
    <w:uiPriority w:val="99"/>
    <w:unhideWhenUsed/>
    <w:rsid w:val="00132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13D"/>
  </w:style>
  <w:style w:type="character" w:styleId="CommentReference">
    <w:name w:val="annotation reference"/>
    <w:basedOn w:val="DefaultParagraphFont"/>
    <w:uiPriority w:val="99"/>
    <w:semiHidden/>
    <w:unhideWhenUsed/>
    <w:rsid w:val="0088334D"/>
    <w:rPr>
      <w:sz w:val="16"/>
      <w:szCs w:val="16"/>
    </w:rPr>
  </w:style>
  <w:style w:type="paragraph" w:styleId="CommentText">
    <w:name w:val="annotation text"/>
    <w:basedOn w:val="Normal"/>
    <w:link w:val="CommentTextChar"/>
    <w:uiPriority w:val="99"/>
    <w:semiHidden/>
    <w:unhideWhenUsed/>
    <w:rsid w:val="0088334D"/>
    <w:pPr>
      <w:spacing w:line="240" w:lineRule="auto"/>
    </w:pPr>
    <w:rPr>
      <w:sz w:val="20"/>
      <w:szCs w:val="20"/>
    </w:rPr>
  </w:style>
  <w:style w:type="character" w:customStyle="1" w:styleId="CommentTextChar">
    <w:name w:val="Comment Text Char"/>
    <w:basedOn w:val="DefaultParagraphFont"/>
    <w:link w:val="CommentText"/>
    <w:uiPriority w:val="99"/>
    <w:semiHidden/>
    <w:rsid w:val="0088334D"/>
    <w:rPr>
      <w:sz w:val="20"/>
      <w:szCs w:val="20"/>
    </w:rPr>
  </w:style>
  <w:style w:type="paragraph" w:styleId="CommentSubject">
    <w:name w:val="annotation subject"/>
    <w:basedOn w:val="CommentText"/>
    <w:next w:val="CommentText"/>
    <w:link w:val="CommentSubjectChar"/>
    <w:uiPriority w:val="99"/>
    <w:semiHidden/>
    <w:unhideWhenUsed/>
    <w:rsid w:val="0088334D"/>
    <w:rPr>
      <w:b/>
      <w:bCs/>
    </w:rPr>
  </w:style>
  <w:style w:type="character" w:customStyle="1" w:styleId="CommentSubjectChar">
    <w:name w:val="Comment Subject Char"/>
    <w:basedOn w:val="CommentTextChar"/>
    <w:link w:val="CommentSubject"/>
    <w:uiPriority w:val="99"/>
    <w:semiHidden/>
    <w:rsid w:val="0088334D"/>
    <w:rPr>
      <w:b/>
      <w:bCs/>
      <w:sz w:val="20"/>
      <w:szCs w:val="20"/>
    </w:rPr>
  </w:style>
  <w:style w:type="paragraph" w:styleId="BalloonText">
    <w:name w:val="Balloon Text"/>
    <w:basedOn w:val="Normal"/>
    <w:link w:val="BalloonTextChar"/>
    <w:uiPriority w:val="99"/>
    <w:semiHidden/>
    <w:unhideWhenUsed/>
    <w:rsid w:val="00883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34D"/>
    <w:rPr>
      <w:rFonts w:ascii="Segoe UI" w:hAnsi="Segoe UI" w:cs="Segoe UI"/>
      <w:sz w:val="18"/>
      <w:szCs w:val="18"/>
    </w:rPr>
  </w:style>
  <w:style w:type="table" w:styleId="GridTable1Light-Accent1">
    <w:name w:val="Grid Table 1 Light Accent 1"/>
    <w:basedOn w:val="TableNormal"/>
    <w:uiPriority w:val="46"/>
    <w:rsid w:val="00777CE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777CE3"/>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495C30"/>
    <w:pPr>
      <w:spacing w:after="0" w:line="240" w:lineRule="auto"/>
    </w:pPr>
  </w:style>
  <w:style w:type="character" w:styleId="Hyperlink">
    <w:name w:val="Hyperlink"/>
    <w:basedOn w:val="DefaultParagraphFont"/>
    <w:uiPriority w:val="99"/>
    <w:unhideWhenUsed/>
    <w:rsid w:val="002855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tation.crosscit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F3EA7-2B16-4D8A-AC28-26B61727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Osgood</dc:creator>
  <cp:keywords/>
  <dc:description/>
  <cp:lastModifiedBy>Hien T Le</cp:lastModifiedBy>
  <cp:revision>15</cp:revision>
  <cp:lastPrinted>2011-02-16T14:13:00Z</cp:lastPrinted>
  <dcterms:created xsi:type="dcterms:W3CDTF">2018-10-17T16:39:00Z</dcterms:created>
  <dcterms:modified xsi:type="dcterms:W3CDTF">2018-10-22T14:46:00Z</dcterms:modified>
</cp:coreProperties>
</file>